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C9806" w14:textId="29C594B0" w:rsidR="00CC16D9" w:rsidRDefault="00454B3B">
      <w:pPr>
        <w:rPr>
          <w:b/>
          <w:bCs/>
        </w:rPr>
      </w:pPr>
      <w:r w:rsidRPr="00454B3B">
        <w:rPr>
          <w:b/>
          <w:bCs/>
        </w:rPr>
        <w:t>Process for payment</w:t>
      </w:r>
      <w:r w:rsidR="00F11E4F">
        <w:rPr>
          <w:b/>
          <w:bCs/>
        </w:rPr>
        <w:t xml:space="preserve">s </w:t>
      </w:r>
      <w:r w:rsidRPr="00454B3B">
        <w:rPr>
          <w:b/>
          <w:bCs/>
        </w:rPr>
        <w:t>to employees and students</w:t>
      </w:r>
    </w:p>
    <w:p w14:paraId="44F5CDF4" w14:textId="1EA6CC52" w:rsidR="00454B3B" w:rsidRPr="00454B3B" w:rsidRDefault="00454B3B">
      <w:pPr>
        <w:rPr>
          <w:i/>
          <w:iCs/>
        </w:rPr>
      </w:pPr>
      <w:r w:rsidRPr="00454B3B">
        <w:rPr>
          <w:i/>
          <w:iCs/>
        </w:rPr>
        <w:t>Determination of whether to pay through Accounts Payable or Payroll:</w:t>
      </w:r>
    </w:p>
    <w:p w14:paraId="22A9CB71" w14:textId="7FF72FFC" w:rsidR="00454B3B" w:rsidRDefault="00454B3B">
      <w:r>
        <w:t xml:space="preserve">Generally, payments to employees (whether student employees, faculty, staff, or administration) will be paid through Payroll and subject to normal payroll withholding taxes.  However, if employment with the University is not a condition to receive the award (i.e., participation in a research study or a contest), then the award is not considered compensation and would be paid through Accounts Payable.  One way to determine this would be if there are numerous award winners and some are employees and some are not.  You would </w:t>
      </w:r>
      <w:r w:rsidR="003F4DEE">
        <w:t xml:space="preserve">likely </w:t>
      </w:r>
      <w:r>
        <w:t xml:space="preserve">conclude that the employment </w:t>
      </w:r>
      <w:r w:rsidR="003F4DEE">
        <w:t>wa</w:t>
      </w:r>
      <w:r>
        <w:t xml:space="preserve">s not a condition to receive the award and it is not compensation.  </w:t>
      </w:r>
    </w:p>
    <w:p w14:paraId="4A51C40E" w14:textId="22BED44C" w:rsidR="00FB6213" w:rsidRDefault="00FB6213">
      <w:r>
        <w:t xml:space="preserve">Note that payments processed through Accounts Payable </w:t>
      </w:r>
      <w:r w:rsidR="00E1145A">
        <w:t>which are deemed to be awards not related to compensation may still be subject to taxes and it is the recipient’s respo</w:t>
      </w:r>
      <w:r w:rsidR="003000FB">
        <w:t>nsibility to report such payments on their tax return</w:t>
      </w:r>
      <w:r w:rsidR="008F0192">
        <w:t xml:space="preserve">.   Payments over $600 or aggregate payments to individuals in a calendar year </w:t>
      </w:r>
      <w:r w:rsidR="0082457C">
        <w:t>that</w:t>
      </w:r>
      <w:r w:rsidR="008F0192">
        <w:t xml:space="preserve"> total over $600 may result in the issuance of a Form 1099</w:t>
      </w:r>
      <w:r w:rsidR="0082457C">
        <w:t>.  It is possible that an employee could receive both a W-2 and Form 1099 in the same year depending on the nature of payments made during that year if the payment is related to an award not conditioned on employment</w:t>
      </w:r>
      <w:r w:rsidR="0044128D">
        <w:t xml:space="preserve"> and/or payment for Independent Contractor services.  </w:t>
      </w:r>
    </w:p>
    <w:p w14:paraId="2E9028A3" w14:textId="6A791736" w:rsidR="00454B3B" w:rsidRPr="00454B3B" w:rsidRDefault="00454B3B">
      <w:pPr>
        <w:rPr>
          <w:i/>
          <w:iCs/>
        </w:rPr>
      </w:pPr>
      <w:r w:rsidRPr="00454B3B">
        <w:rPr>
          <w:i/>
          <w:iCs/>
        </w:rPr>
        <w:t>Examples to determine if the payment should be paid through Payroll or Accounts Payable:</w:t>
      </w:r>
    </w:p>
    <w:tbl>
      <w:tblPr>
        <w:tblStyle w:val="TableGrid"/>
        <w:tblW w:w="0" w:type="auto"/>
        <w:tblLook w:val="04A0" w:firstRow="1" w:lastRow="0" w:firstColumn="1" w:lastColumn="0" w:noHBand="0" w:noVBand="1"/>
      </w:tblPr>
      <w:tblGrid>
        <w:gridCol w:w="1200"/>
        <w:gridCol w:w="4512"/>
        <w:gridCol w:w="4512"/>
      </w:tblGrid>
      <w:tr w:rsidR="00EF4C84" w14:paraId="7F16CD38" w14:textId="77777777" w:rsidTr="00963A94">
        <w:trPr>
          <w:trHeight w:hRule="exact" w:val="20"/>
        </w:trPr>
        <w:tc>
          <w:tcPr>
            <w:tcW w:w="1350" w:type="dxa"/>
            <w:tcBorders>
              <w:top w:val="nil"/>
              <w:left w:val="nil"/>
              <w:bottom w:val="nil"/>
              <w:right w:val="nil"/>
            </w:tcBorders>
          </w:tcPr>
          <w:p w14:paraId="6C074756" w14:textId="77777777" w:rsidR="00EF4C84" w:rsidRDefault="00EF4C84">
            <w:pPr>
              <w:rPr>
                <w:sz w:val="2"/>
              </w:rPr>
            </w:pPr>
            <w:bookmarkStart w:id="0" w:name="_c16fd090_2628_4431_add7_eac6d1d6351a"/>
            <w:bookmarkStart w:id="1" w:name="_2f844b56_8000_4ce3_9e70_d764479b4611"/>
            <w:bookmarkEnd w:id="0"/>
          </w:p>
        </w:tc>
        <w:tc>
          <w:tcPr>
            <w:tcW w:w="3885" w:type="dxa"/>
            <w:tcBorders>
              <w:top w:val="nil"/>
              <w:left w:val="nil"/>
              <w:bottom w:val="nil"/>
              <w:right w:val="nil"/>
            </w:tcBorders>
          </w:tcPr>
          <w:p w14:paraId="6E489C02" w14:textId="77777777" w:rsidR="00EF4C84" w:rsidRDefault="00EF4C84">
            <w:pPr>
              <w:rPr>
                <w:sz w:val="2"/>
              </w:rPr>
            </w:pPr>
          </w:p>
        </w:tc>
        <w:tc>
          <w:tcPr>
            <w:tcW w:w="4125" w:type="dxa"/>
            <w:tcBorders>
              <w:top w:val="nil"/>
              <w:left w:val="nil"/>
              <w:bottom w:val="nil"/>
              <w:right w:val="nil"/>
            </w:tcBorders>
          </w:tcPr>
          <w:p w14:paraId="7295FCF9" w14:textId="77777777" w:rsidR="00EF4C84" w:rsidRDefault="00EF4C84">
            <w:pPr>
              <w:rPr>
                <w:sz w:val="2"/>
              </w:rPr>
            </w:pPr>
          </w:p>
        </w:tc>
      </w:tr>
      <w:tr w:rsidR="00EF4C84" w14:paraId="728BDFBF" w14:textId="77777777" w:rsidTr="00963A94">
        <w:tc>
          <w:tcPr>
            <w:tcW w:w="1350" w:type="dxa"/>
          </w:tcPr>
          <w:p w14:paraId="28CBEBC9" w14:textId="77777777" w:rsidR="00EF4C84" w:rsidRPr="0085462E" w:rsidRDefault="00EF4C84" w:rsidP="006466C8">
            <w:pPr>
              <w:rPr>
                <w:b/>
                <w:bCs/>
              </w:rPr>
            </w:pPr>
            <w:r w:rsidRPr="0085462E">
              <w:rPr>
                <w:b/>
                <w:bCs/>
              </w:rPr>
              <w:t>Purpose of Payment</w:t>
            </w:r>
          </w:p>
        </w:tc>
        <w:tc>
          <w:tcPr>
            <w:tcW w:w="3885" w:type="dxa"/>
          </w:tcPr>
          <w:p w14:paraId="32213D09" w14:textId="77777777" w:rsidR="00EF4C84" w:rsidRPr="0085462E" w:rsidRDefault="00EF4C84" w:rsidP="006466C8">
            <w:pPr>
              <w:rPr>
                <w:b/>
                <w:bCs/>
              </w:rPr>
            </w:pPr>
            <w:r w:rsidRPr="0085462E">
              <w:rPr>
                <w:b/>
                <w:bCs/>
              </w:rPr>
              <w:t>Pay Through Payroll</w:t>
            </w:r>
          </w:p>
        </w:tc>
        <w:tc>
          <w:tcPr>
            <w:tcW w:w="4125" w:type="dxa"/>
          </w:tcPr>
          <w:p w14:paraId="402F52E5" w14:textId="77777777" w:rsidR="00EF4C84" w:rsidRPr="0085462E" w:rsidRDefault="00EF4C84" w:rsidP="006466C8">
            <w:pPr>
              <w:rPr>
                <w:b/>
                <w:bCs/>
              </w:rPr>
            </w:pPr>
            <w:r w:rsidRPr="0085462E">
              <w:rPr>
                <w:b/>
                <w:bCs/>
              </w:rPr>
              <w:t>Pay Through Accounts Payable</w:t>
            </w:r>
          </w:p>
        </w:tc>
      </w:tr>
      <w:tr w:rsidR="00EF4C84" w14:paraId="5B4E5916" w14:textId="77777777" w:rsidTr="00963A94">
        <w:tc>
          <w:tcPr>
            <w:tcW w:w="1350" w:type="dxa"/>
          </w:tcPr>
          <w:p w14:paraId="7B13AA4E" w14:textId="77777777" w:rsidR="00EF4C84" w:rsidRDefault="00EF4C84" w:rsidP="006466C8">
            <w:r w:rsidRPr="0085462E">
              <w:rPr>
                <w:b/>
                <w:bCs/>
              </w:rPr>
              <w:t xml:space="preserve">Awards </w:t>
            </w:r>
            <w:r>
              <w:t>for student employees, faculty, staff, prior employees, and retirees (excluding Financial Aid awards)</w:t>
            </w:r>
          </w:p>
        </w:tc>
        <w:tc>
          <w:tcPr>
            <w:tcW w:w="3885" w:type="dxa"/>
          </w:tcPr>
          <w:p w14:paraId="3C795F5B" w14:textId="77777777" w:rsidR="00EF4C84" w:rsidRDefault="00EF4C84" w:rsidP="006466C8">
            <w:r>
              <w:t xml:space="preserve">If the award is in </w:t>
            </w:r>
            <w:proofErr w:type="gramStart"/>
            <w:r>
              <w:t>anyway</w:t>
            </w:r>
            <w:proofErr w:type="gramEnd"/>
            <w:r>
              <w:t xml:space="preserve"> related to employment it should be paid through Payroll and subject to payroll tax withholding. For example, if employment is a condition to receive the award, then it is likely compensation related and should be taxed accordingly.</w:t>
            </w:r>
          </w:p>
        </w:tc>
        <w:tc>
          <w:tcPr>
            <w:tcW w:w="4125" w:type="dxa"/>
          </w:tcPr>
          <w:p w14:paraId="174C0AFD" w14:textId="77777777" w:rsidR="00EF4C84" w:rsidRDefault="00EF4C84" w:rsidP="006466C8">
            <w:r>
              <w:t>If the award is strictly academic and work was not involved in the decision to give the award (i.e., employees and non-employees are eligible), it should be paid through AP.</w:t>
            </w:r>
          </w:p>
        </w:tc>
      </w:tr>
      <w:tr w:rsidR="00EF4C84" w14:paraId="14A6FC92" w14:textId="77777777" w:rsidTr="00963A94">
        <w:tc>
          <w:tcPr>
            <w:tcW w:w="1350" w:type="dxa"/>
          </w:tcPr>
          <w:p w14:paraId="67BC7E47" w14:textId="77777777" w:rsidR="00EF4C84" w:rsidRDefault="00EF4C84" w:rsidP="006466C8">
            <w:r w:rsidRPr="0085462E">
              <w:rPr>
                <w:b/>
                <w:bCs/>
              </w:rPr>
              <w:t>Awards</w:t>
            </w:r>
            <w:r>
              <w:t xml:space="preserve"> for non-</w:t>
            </w:r>
            <w:r>
              <w:lastRenderedPageBreak/>
              <w:t>employees</w:t>
            </w:r>
          </w:p>
        </w:tc>
        <w:tc>
          <w:tcPr>
            <w:tcW w:w="3885" w:type="dxa"/>
          </w:tcPr>
          <w:p w14:paraId="4545491A" w14:textId="77777777" w:rsidR="00EF4C84" w:rsidRDefault="00EF4C84" w:rsidP="006466C8">
            <w:r>
              <w:lastRenderedPageBreak/>
              <w:t>Not paid through Payroll.</w:t>
            </w:r>
          </w:p>
        </w:tc>
        <w:tc>
          <w:tcPr>
            <w:tcW w:w="4125" w:type="dxa"/>
          </w:tcPr>
          <w:p w14:paraId="0E124616" w14:textId="77777777" w:rsidR="00EF4C84" w:rsidRDefault="00EF4C84" w:rsidP="006466C8">
            <w:r>
              <w:t xml:space="preserve">Should be submitted to AP with proper documentation and approval.  </w:t>
            </w:r>
          </w:p>
          <w:p w14:paraId="6E177316" w14:textId="77777777" w:rsidR="00EF4C84" w:rsidRDefault="00EF4C84" w:rsidP="006466C8"/>
        </w:tc>
      </w:tr>
      <w:tr w:rsidR="00EF4C84" w14:paraId="0A1B5C12" w14:textId="77777777" w:rsidTr="00963A94">
        <w:tc>
          <w:tcPr>
            <w:tcW w:w="1350" w:type="dxa"/>
          </w:tcPr>
          <w:p w14:paraId="65341DF7" w14:textId="77777777" w:rsidR="00EF4C84" w:rsidRDefault="00EF4C84" w:rsidP="006466C8">
            <w:r w:rsidRPr="0085462E">
              <w:rPr>
                <w:b/>
                <w:bCs/>
              </w:rPr>
              <w:lastRenderedPageBreak/>
              <w:t>Gift Cards &amp; Cash Equivalents</w:t>
            </w:r>
            <w:r>
              <w:t xml:space="preserve"> for student employees, faculty, staff, prior employees, retirees</w:t>
            </w:r>
          </w:p>
        </w:tc>
        <w:tc>
          <w:tcPr>
            <w:tcW w:w="3885" w:type="dxa"/>
          </w:tcPr>
          <w:p w14:paraId="1B6E7E06" w14:textId="77777777" w:rsidR="00EF4C84" w:rsidRDefault="00EF4C84" w:rsidP="006466C8">
            <w:r>
              <w:t xml:space="preserve">Taxed through Payroll.  Information regarding the “gifts” should be submitted to Payroll. See the Gifts to Employees and Students process and Gift Recipient Form found here: </w:t>
            </w:r>
            <w:hyperlink r:id="rId6" w:history="1">
              <w:r w:rsidRPr="003822BF">
                <w:rPr>
                  <w:rStyle w:val="Hyperlink"/>
                </w:rPr>
                <w:t>https://www.loyola.edu/_media/department/financial-services/documents/gifts-employees-students.pdf</w:t>
              </w:r>
            </w:hyperlink>
          </w:p>
          <w:p w14:paraId="78E5783B" w14:textId="77777777" w:rsidR="00EF4C84" w:rsidRDefault="00EF4C84" w:rsidP="006466C8"/>
        </w:tc>
        <w:tc>
          <w:tcPr>
            <w:tcW w:w="4125" w:type="dxa"/>
          </w:tcPr>
          <w:p w14:paraId="16425749" w14:textId="77777777" w:rsidR="00EF4C84" w:rsidRDefault="00EF4C84" w:rsidP="006466C8">
            <w:r>
              <w:t xml:space="preserve">No. Process through Payroll. </w:t>
            </w:r>
          </w:p>
        </w:tc>
      </w:tr>
      <w:tr w:rsidR="00EF4C84" w14:paraId="0627FE49" w14:textId="77777777" w:rsidTr="00963A94">
        <w:tc>
          <w:tcPr>
            <w:tcW w:w="1350" w:type="dxa"/>
          </w:tcPr>
          <w:p w14:paraId="56A7DC21" w14:textId="77777777" w:rsidR="00EF4C84" w:rsidRDefault="00EF4C84" w:rsidP="006466C8">
            <w:r w:rsidRPr="0085462E">
              <w:rPr>
                <w:b/>
                <w:bCs/>
              </w:rPr>
              <w:t>Gift Cards &amp; Cash Equivalents</w:t>
            </w:r>
            <w:r>
              <w:t xml:space="preserve"> for non-employees</w:t>
            </w:r>
          </w:p>
        </w:tc>
        <w:tc>
          <w:tcPr>
            <w:tcW w:w="3885" w:type="dxa"/>
          </w:tcPr>
          <w:p w14:paraId="00B4C3AC" w14:textId="77777777" w:rsidR="00EF4C84" w:rsidRDefault="00EF4C84" w:rsidP="006466C8">
            <w:r>
              <w:t>No. Process through AP.</w:t>
            </w:r>
          </w:p>
        </w:tc>
        <w:tc>
          <w:tcPr>
            <w:tcW w:w="4125" w:type="dxa"/>
          </w:tcPr>
          <w:p w14:paraId="31C33D41" w14:textId="77777777" w:rsidR="00EF4C84" w:rsidRDefault="00EF4C84" w:rsidP="006466C8">
            <w:r>
              <w:t xml:space="preserve">Send documentation to AP.  Will be included on Form 1099 </w:t>
            </w:r>
            <w:proofErr w:type="gramStart"/>
            <w:r>
              <w:t>similar to</w:t>
            </w:r>
            <w:proofErr w:type="gramEnd"/>
            <w:r>
              <w:t xml:space="preserve"> awards for non-employees if over $600. </w:t>
            </w:r>
          </w:p>
          <w:p w14:paraId="16106FF6" w14:textId="508CFED0" w:rsidR="00EF4C84" w:rsidRDefault="00356E35" w:rsidP="006466C8">
            <w:hyperlink r:id="rId7" w:history="1">
              <w:r w:rsidRPr="003822BF">
                <w:rPr>
                  <w:rStyle w:val="Hyperlink"/>
                </w:rPr>
                <w:t>https://www.loyola.edu/_media/department/financial-services/documents/gifts-employees-students.pdf</w:t>
              </w:r>
            </w:hyperlink>
          </w:p>
          <w:p w14:paraId="670044A6" w14:textId="77777777" w:rsidR="00356E35" w:rsidRDefault="00356E35" w:rsidP="006466C8"/>
          <w:p w14:paraId="2A11C10E" w14:textId="77777777" w:rsidR="00EF4C84" w:rsidRDefault="00EF4C84" w:rsidP="006466C8"/>
        </w:tc>
      </w:tr>
      <w:tr w:rsidR="00EF4C84" w14:paraId="2B04FE01" w14:textId="77777777" w:rsidTr="00963A94">
        <w:tc>
          <w:tcPr>
            <w:tcW w:w="1350" w:type="dxa"/>
          </w:tcPr>
          <w:p w14:paraId="4752D73A" w14:textId="77777777" w:rsidR="00EF4C84" w:rsidRDefault="00EF4C84" w:rsidP="006466C8">
            <w:r w:rsidRPr="0085462E">
              <w:rPr>
                <w:b/>
                <w:bCs/>
              </w:rPr>
              <w:t>Payments for Services</w:t>
            </w:r>
            <w:r>
              <w:t xml:space="preserve"> for student employees, faculty, staff, prior employees, retirees</w:t>
            </w:r>
          </w:p>
        </w:tc>
        <w:tc>
          <w:tcPr>
            <w:tcW w:w="3885" w:type="dxa"/>
          </w:tcPr>
          <w:p w14:paraId="50179DB4" w14:textId="77777777" w:rsidR="00EF4C84" w:rsidRDefault="00EF4C84" w:rsidP="006466C8">
            <w:r>
              <w:t xml:space="preserve">Yes. Payments made to employees for services, including consulting should be paid via Payroll.  If the payment is outside the employees’ normal scope of work, this should be evaluated based on the Employee versus Independent Contractor form found here: </w:t>
            </w:r>
            <w:hyperlink r:id="rId8" w:history="1">
              <w:r w:rsidRPr="003822BF">
                <w:rPr>
                  <w:rStyle w:val="Hyperlink"/>
                </w:rPr>
                <w:t>https://www.loyola.edu/_media/department/financial-services/documents/university-policies/independent-contractor-consultant-requisition-form.pdf</w:t>
              </w:r>
            </w:hyperlink>
          </w:p>
          <w:p w14:paraId="3509EB71" w14:textId="77777777" w:rsidR="00EF4C84" w:rsidRDefault="00EF4C84" w:rsidP="006466C8"/>
        </w:tc>
        <w:tc>
          <w:tcPr>
            <w:tcW w:w="4125" w:type="dxa"/>
          </w:tcPr>
          <w:p w14:paraId="589A1ADA" w14:textId="77777777" w:rsidR="00EF4C84" w:rsidRDefault="00EF4C84" w:rsidP="006466C8">
            <w:r>
              <w:t xml:space="preserve">No.  Pay through Payroll.  </w:t>
            </w:r>
          </w:p>
        </w:tc>
      </w:tr>
      <w:tr w:rsidR="00EF4C84" w14:paraId="64DA991A" w14:textId="77777777" w:rsidTr="00963A94">
        <w:tc>
          <w:tcPr>
            <w:tcW w:w="1350" w:type="dxa"/>
          </w:tcPr>
          <w:p w14:paraId="799139E9" w14:textId="77777777" w:rsidR="00EF4C84" w:rsidRPr="0085462E" w:rsidRDefault="00EF4C84" w:rsidP="006466C8">
            <w:pPr>
              <w:rPr>
                <w:b/>
                <w:bCs/>
              </w:rPr>
            </w:pPr>
            <w:r>
              <w:rPr>
                <w:b/>
                <w:bCs/>
              </w:rPr>
              <w:t xml:space="preserve">Payments for Services </w:t>
            </w:r>
            <w:r w:rsidRPr="0085462E">
              <w:t>for non-employees</w:t>
            </w:r>
          </w:p>
        </w:tc>
        <w:tc>
          <w:tcPr>
            <w:tcW w:w="3885" w:type="dxa"/>
          </w:tcPr>
          <w:p w14:paraId="53679FC5" w14:textId="77777777" w:rsidR="00EF4C84" w:rsidRDefault="00EF4C84" w:rsidP="006466C8">
            <w:r>
              <w:t xml:space="preserve">If the individual does not qualify as an Independent Contractor per the Independent Contractor check list, they must be paid through Payroll.  </w:t>
            </w:r>
          </w:p>
        </w:tc>
        <w:tc>
          <w:tcPr>
            <w:tcW w:w="4125" w:type="dxa"/>
          </w:tcPr>
          <w:p w14:paraId="496939C8" w14:textId="77777777" w:rsidR="00EF4C84" w:rsidRDefault="00EF4C84" w:rsidP="006466C8">
            <w:r>
              <w:t>Complete the Employee versus Independent Contractor form.  If the individual qualifies as an Independent Contractor, they should be paid through AP.</w:t>
            </w:r>
          </w:p>
        </w:tc>
      </w:tr>
      <w:tr w:rsidR="00EF4C84" w14:paraId="1046BA19" w14:textId="77777777" w:rsidTr="00963A94">
        <w:tc>
          <w:tcPr>
            <w:tcW w:w="1350" w:type="dxa"/>
          </w:tcPr>
          <w:p w14:paraId="3130666B" w14:textId="77777777" w:rsidR="00EF4C84" w:rsidRDefault="00EF4C84" w:rsidP="006466C8">
            <w:pPr>
              <w:rPr>
                <w:b/>
                <w:bCs/>
              </w:rPr>
            </w:pPr>
            <w:r>
              <w:rPr>
                <w:b/>
                <w:bCs/>
              </w:rPr>
              <w:lastRenderedPageBreak/>
              <w:t>Prizes</w:t>
            </w:r>
          </w:p>
        </w:tc>
        <w:tc>
          <w:tcPr>
            <w:tcW w:w="3885" w:type="dxa"/>
          </w:tcPr>
          <w:p w14:paraId="28D5E6E5" w14:textId="77777777" w:rsidR="00EF4C84" w:rsidRDefault="00EF4C84" w:rsidP="006466C8">
            <w:r>
              <w:t xml:space="preserve">Follow the process for </w:t>
            </w:r>
            <w:r w:rsidRPr="0085462E">
              <w:rPr>
                <w:b/>
                <w:bCs/>
              </w:rPr>
              <w:t>Awards.</w:t>
            </w:r>
          </w:p>
        </w:tc>
        <w:tc>
          <w:tcPr>
            <w:tcW w:w="4125" w:type="dxa"/>
          </w:tcPr>
          <w:p w14:paraId="3107B8BB" w14:textId="77777777" w:rsidR="00EF4C84" w:rsidRDefault="00EF4C84" w:rsidP="006466C8">
            <w:r>
              <w:t xml:space="preserve">Follow the process for </w:t>
            </w:r>
            <w:r w:rsidRPr="0085462E">
              <w:rPr>
                <w:b/>
                <w:bCs/>
              </w:rPr>
              <w:t>Awards.</w:t>
            </w:r>
            <w:r>
              <w:t xml:space="preserve"> </w:t>
            </w:r>
          </w:p>
        </w:tc>
      </w:tr>
      <w:bookmarkEnd w:id="1"/>
    </w:tbl>
    <w:p w14:paraId="045E1499" w14:textId="77777777" w:rsidR="00EF4C84" w:rsidRDefault="00EF4C84"/>
    <w:p w14:paraId="349A4DC8" w14:textId="77777777" w:rsidR="00454B3B" w:rsidRPr="00454B3B" w:rsidRDefault="00454B3B">
      <w:pPr>
        <w:rPr>
          <w:b/>
          <w:bCs/>
        </w:rPr>
      </w:pPr>
    </w:p>
    <w:p w14:paraId="195ACE0D" w14:textId="77777777" w:rsidR="00454B3B" w:rsidRDefault="00454B3B"/>
    <w:sectPr w:rsidR="00454B3B" w:rsidSect="003341AA">
      <w:footerReference w:type="even" r:id="rId9"/>
      <w:footerReference w:type="default" r:id="rId10"/>
      <w:footerReference w:type="first" r:id="rId11"/>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1502F" w14:textId="77777777" w:rsidR="000A5DDE" w:rsidRDefault="000A5DDE" w:rsidP="0043010E">
      <w:pPr>
        <w:spacing w:after="0" w:line="240" w:lineRule="auto"/>
      </w:pPr>
      <w:r>
        <w:separator/>
      </w:r>
    </w:p>
  </w:endnote>
  <w:endnote w:type="continuationSeparator" w:id="0">
    <w:p w14:paraId="6B8FC8F3" w14:textId="77777777" w:rsidR="000A5DDE" w:rsidRDefault="000A5DDE" w:rsidP="0043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059F" w14:textId="753974DE" w:rsidR="0043010E" w:rsidRDefault="0043010E">
    <w:pPr>
      <w:pStyle w:val="Footer"/>
    </w:pPr>
    <w:r>
      <w:rPr>
        <w:noProof/>
      </w:rPr>
      <mc:AlternateContent>
        <mc:Choice Requires="wps">
          <w:drawing>
            <wp:anchor distT="0" distB="0" distL="0" distR="0" simplePos="0" relativeHeight="251659264" behindDoc="0" locked="0" layoutInCell="1" allowOverlap="1" wp14:anchorId="384561BC" wp14:editId="1944D9DC">
              <wp:simplePos x="635" y="635"/>
              <wp:positionH relativeFrom="page">
                <wp:align>center</wp:align>
              </wp:positionH>
              <wp:positionV relativeFrom="page">
                <wp:align>bottom</wp:align>
              </wp:positionV>
              <wp:extent cx="2324100" cy="370205"/>
              <wp:effectExtent l="0" t="0" r="0" b="0"/>
              <wp:wrapNone/>
              <wp:docPr id="1007316021"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24100" cy="370205"/>
                      </a:xfrm>
                      <a:prstGeom prst="rect">
                        <a:avLst/>
                      </a:prstGeom>
                      <a:noFill/>
                      <a:ln>
                        <a:noFill/>
                      </a:ln>
                    </wps:spPr>
                    <wps:txbx>
                      <w:txbxContent>
                        <w:p w14:paraId="13CED499" w14:textId="00BEB2A0" w:rsidR="0043010E" w:rsidRPr="0043010E" w:rsidRDefault="0043010E" w:rsidP="0043010E">
                          <w:pPr>
                            <w:spacing w:after="0"/>
                            <w:rPr>
                              <w:rFonts w:ascii="Calibri" w:eastAsia="Calibri" w:hAnsi="Calibri" w:cs="Calibri"/>
                              <w:noProof/>
                              <w:color w:val="000000"/>
                              <w:sz w:val="20"/>
                              <w:szCs w:val="20"/>
                            </w:rPr>
                          </w:pPr>
                          <w:r w:rsidRPr="0043010E">
                            <w:rPr>
                              <w:rFonts w:ascii="Calibri" w:eastAsia="Calibri" w:hAnsi="Calibri" w:cs="Calibri"/>
                              <w:noProof/>
                              <w:color w:val="000000"/>
                              <w:sz w:val="2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561BC"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183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mYDAIAAB0EAAAOAAAAZHJzL2Uyb0RvYy54bWysU8Fu2zAMvQ/YPwi6L3bSdeuMOEXWIsOA&#10;oC2QDj0rshQbsESBUmJnXz9KjpOu22nYRaZJ6pF8fJrf9qZlB4W+AVvy6STnTFkJVWN3Jf/xvPpw&#10;w5kPwlaiBatKflSe3y7ev5t3rlAzqKGtFDICsb7oXMnrEFyRZV7Wygg/AacsBTWgEYF+cZdVKDpC&#10;N202y/NPWQdYOQSpvCfv/RDki4SvtZLhUWuvAmtLTr2FdGI6t/HMFnNR7FC4upGnNsQ/dGFEY6no&#10;GepeBMH22PwBZRqJ4EGHiQSTgdaNVGkGmmaav5lmUwun0ixEjndnmvz/g5UPh417Qhb6r9DTAiMh&#10;nfOFJ2ecp9do4pc6ZRQnCo9n2lQfmCTn7Gr2cZpTSFLs6nM+y68jTHa57dCHbwoMi0bJkdaS2BKH&#10;tQ9D6pgSi1lYNW2bVtPa3xyEGT3ZpcVohX7bs6Z61f4WqiNNhTAs3Du5aqj0WvjwJJA2TN2SasMj&#10;HbqFruRwsjirAX/+zR/ziXiKctaRYkpuSdKctd8tLSSKazRwNLbJmH7JryM9dm/ugHQ4pSfhZDLJ&#10;i6EdTY1gXkjPy1iIQsJKKlfy7WjehUG69B6kWi5TEunIibC2GycjdKQrcvncvwh0J8IDreoBRjmJ&#10;4g3vQ2686d1yH4j9tJRI7UDkiXHSYFrr6b1Ekb/+T1mXV734BQAA//8DAFBLAwQUAAYACAAAACEA&#10;Fu80TNoAAAAEAQAADwAAAGRycy9kb3ducmV2LnhtbEyPTWvDMAyG74P+B6PCbquzhoWSxSmj0FPL&#10;oB+X3VxbTdLGcoidNv3303bZLoKXVzx6VCxH14ob9qHxpOB1loBAMt42VCk4HtYvCxAharK69YQK&#10;HhhgWU6eCp1bf6cd3vaxEgyhkGsFdYxdLmUwNTodZr5D4u7se6cjx76Sttd3hrtWzpMkk043xBdq&#10;3eGqRnPdD07B2y5uh086pF/j/HHZdCuTnjdGqefp+PEOIuIY/5bhR5/VoWSnkx/IBtEq4Efi7+Qu&#10;zTKOJwYvUpBlIf/Ll98AAAD//wMAUEsBAi0AFAAGAAgAAAAhALaDOJL+AAAA4QEAABMAAAAAAAAA&#10;AAAAAAAAAAAAAFtDb250ZW50X1R5cGVzXS54bWxQSwECLQAUAAYACAAAACEAOP0h/9YAAACUAQAA&#10;CwAAAAAAAAAAAAAAAAAvAQAAX3JlbHMvLnJlbHNQSwECLQAUAAYACAAAACEAaLw5mAwCAAAdBAAA&#10;DgAAAAAAAAAAAAAAAAAuAgAAZHJzL2Uyb0RvYy54bWxQSwECLQAUAAYACAAAACEAFu80TNoAAAAE&#10;AQAADwAAAAAAAAAAAAAAAABmBAAAZHJzL2Rvd25yZXYueG1sUEsFBgAAAAAEAAQA8wAAAG0FAAAA&#10;AA==&#10;" filled="f" stroked="f">
              <v:fill o:detectmouseclick="t"/>
              <v:textbox style="mso-fit-shape-to-text:t" inset="0,0,0,15pt">
                <w:txbxContent>
                  <w:p w14:paraId="13CED499" w14:textId="00BEB2A0" w:rsidR="0043010E" w:rsidRPr="0043010E" w:rsidRDefault="0043010E" w:rsidP="0043010E">
                    <w:pPr>
                      <w:spacing w:after="0"/>
                      <w:rPr>
                        <w:rFonts w:ascii="Calibri" w:eastAsia="Calibri" w:hAnsi="Calibri" w:cs="Calibri"/>
                        <w:noProof/>
                        <w:color w:val="000000"/>
                        <w:sz w:val="20"/>
                        <w:szCs w:val="20"/>
                      </w:rPr>
                    </w:pPr>
                    <w:r w:rsidRPr="0043010E">
                      <w:rPr>
                        <w:rFonts w:ascii="Calibri" w:eastAsia="Calibri" w:hAnsi="Calibri" w:cs="Calibri"/>
                        <w:noProof/>
                        <w:color w:val="000000"/>
                        <w:sz w:val="20"/>
                        <w:szCs w:val="20"/>
                      </w:rPr>
                      <w:t>Loyola University Maryland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B70D" w14:textId="55C5AA4D" w:rsidR="0043010E" w:rsidRDefault="0043010E">
    <w:pPr>
      <w:pStyle w:val="Footer"/>
    </w:pPr>
    <w:r>
      <w:rPr>
        <w:noProof/>
      </w:rPr>
      <mc:AlternateContent>
        <mc:Choice Requires="wps">
          <w:drawing>
            <wp:anchor distT="0" distB="0" distL="0" distR="0" simplePos="0" relativeHeight="251660288" behindDoc="0" locked="0" layoutInCell="1" allowOverlap="1" wp14:anchorId="1B233314" wp14:editId="4FB63EE1">
              <wp:simplePos x="914400" y="9412605"/>
              <wp:positionH relativeFrom="page">
                <wp:align>center</wp:align>
              </wp:positionH>
              <wp:positionV relativeFrom="page">
                <wp:align>bottom</wp:align>
              </wp:positionV>
              <wp:extent cx="2324100" cy="370205"/>
              <wp:effectExtent l="0" t="0" r="0" b="0"/>
              <wp:wrapNone/>
              <wp:docPr id="252275395"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24100" cy="370205"/>
                      </a:xfrm>
                      <a:prstGeom prst="rect">
                        <a:avLst/>
                      </a:prstGeom>
                      <a:noFill/>
                      <a:ln>
                        <a:noFill/>
                      </a:ln>
                    </wps:spPr>
                    <wps:txbx>
                      <w:txbxContent>
                        <w:p w14:paraId="6DB035D2" w14:textId="1C0DB4D9" w:rsidR="0043010E" w:rsidRPr="0043010E" w:rsidRDefault="0043010E" w:rsidP="0043010E">
                          <w:pPr>
                            <w:spacing w:after="0"/>
                            <w:rPr>
                              <w:rFonts w:ascii="Calibri" w:eastAsia="Calibri" w:hAnsi="Calibri" w:cs="Calibri"/>
                              <w:noProof/>
                              <w:color w:val="000000"/>
                              <w:sz w:val="20"/>
                              <w:szCs w:val="20"/>
                            </w:rPr>
                          </w:pPr>
                          <w:r w:rsidRPr="0043010E">
                            <w:rPr>
                              <w:rFonts w:ascii="Calibri" w:eastAsia="Calibri" w:hAnsi="Calibri" w:cs="Calibri"/>
                              <w:noProof/>
                              <w:color w:val="000000"/>
                              <w:sz w:val="2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233314"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183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7eDgIAAB0EAAAOAAAAZHJzL2Uyb0RvYy54bWysU01v2zAMvQ/YfxB0X+yk6z6MOEXWIsOA&#10;oC2QFj0rshQbsESBUmJnv36UHCdb19Owi0yT1CP5+DS/6U3LDgp9A7bk00nOmbISqsbuSv78tPrw&#10;hTMfhK1EC1aV/Kg8v1m8fzfvXKFmUENbKWQEYn3RuZLXIbgiy7yslRF+Ak5ZCmpAIwL94i6rUHSE&#10;btpsluefsg6wcghSeU/euyHIFwlfayXDg9ZeBdaWnHoL6cR0buOZLeai2KFwdSNPbYh/6MKIxlLR&#10;M9SdCILtsfkLyjQSwYMOEwkmA60bqdIMNM00fzXNphZOpVmIHO/ONPn/ByvvDxv3iCz036CnBUZC&#10;OucLT844T6/RxC91yihOFB7PtKk+MEnO2dXs4zSnkKTY1ed8ll9HmOxy26EP3xUYFo2SI60lsSUO&#10;ax+G1DElFrOwato2raa1fzgIM3qyS4vRCv22Z01FnYztb6E60lQIw8K9k6uGSq+FD48CacPULak2&#10;PNChW+hKDieLsxrw51v+mE/EU5SzjhRTckuS5qz9YWkhUVyjgaOxTcb0a34d6bF7cwukwyk9CSeT&#10;SV4M7WhqBPNCel7GQhQSVlK5km9H8zYM0qX3INVymZJIR06Etd04GaEjXZHLp/5FoDsRHmhV9zDK&#10;SRSveB9y403vlvtA7KelRGoHIk+MkwbTWk/vJYr89/+UdXnVi18AAAD//wMAUEsDBBQABgAIAAAA&#10;IQAW7zRM2gAAAAQBAAAPAAAAZHJzL2Rvd25yZXYueG1sTI9Na8MwDIbvg/4Ho8Juq7OGhZLFKaPQ&#10;U8ugH5fdXFtN0sZyiJ02/ffTdtkugpdXPHpULEfXihv2ofGk4HWWgEAy3jZUKTge1i8LECFqsrr1&#10;hAoeGGBZTp4KnVt/px3e9rESDKGQawV1jF0uZTA1Oh1mvkPi7ux7pyPHvpK213eGu1bOkySTTjfE&#10;F2rd4apGc90PTsHbLm6HTzqkX+P8cdl0K5OeN0ap5+n48Q4i4hj/luFHn9WhZKeTH8gG0SrgR+Lv&#10;5C7NMo4nBi9SkGUh/8uX3wAAAP//AwBQSwECLQAUAAYACAAAACEAtoM4kv4AAADhAQAAEwAAAAAA&#10;AAAAAAAAAAAAAAAAW0NvbnRlbnRfVHlwZXNdLnhtbFBLAQItABQABgAIAAAAIQA4/SH/1gAAAJQB&#10;AAALAAAAAAAAAAAAAAAAAC8BAABfcmVscy8ucmVsc1BLAQItABQABgAIAAAAIQDffe7eDgIAAB0E&#10;AAAOAAAAAAAAAAAAAAAAAC4CAABkcnMvZTJvRG9jLnhtbFBLAQItABQABgAIAAAAIQAW7zRM2gAA&#10;AAQBAAAPAAAAAAAAAAAAAAAAAGgEAABkcnMvZG93bnJldi54bWxQSwUGAAAAAAQABADzAAAAbwUA&#10;AAAA&#10;" filled="f" stroked="f">
              <v:fill o:detectmouseclick="t"/>
              <v:textbox style="mso-fit-shape-to-text:t" inset="0,0,0,15pt">
                <w:txbxContent>
                  <w:p w14:paraId="6DB035D2" w14:textId="1C0DB4D9" w:rsidR="0043010E" w:rsidRPr="0043010E" w:rsidRDefault="0043010E" w:rsidP="0043010E">
                    <w:pPr>
                      <w:spacing w:after="0"/>
                      <w:rPr>
                        <w:rFonts w:ascii="Calibri" w:eastAsia="Calibri" w:hAnsi="Calibri" w:cs="Calibri"/>
                        <w:noProof/>
                        <w:color w:val="000000"/>
                        <w:sz w:val="20"/>
                        <w:szCs w:val="20"/>
                      </w:rPr>
                    </w:pPr>
                    <w:r w:rsidRPr="0043010E">
                      <w:rPr>
                        <w:rFonts w:ascii="Calibri" w:eastAsia="Calibri" w:hAnsi="Calibri" w:cs="Calibri"/>
                        <w:noProof/>
                        <w:color w:val="000000"/>
                        <w:sz w:val="20"/>
                        <w:szCs w:val="20"/>
                      </w:rPr>
                      <w:t>Loyola University Maryland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A94E" w14:textId="2F7D6419" w:rsidR="0043010E" w:rsidRDefault="0043010E">
    <w:pPr>
      <w:pStyle w:val="Footer"/>
    </w:pPr>
    <w:r>
      <w:rPr>
        <w:noProof/>
      </w:rPr>
      <mc:AlternateContent>
        <mc:Choice Requires="wps">
          <w:drawing>
            <wp:anchor distT="0" distB="0" distL="0" distR="0" simplePos="0" relativeHeight="251658240" behindDoc="0" locked="0" layoutInCell="1" allowOverlap="1" wp14:anchorId="7875CFB2" wp14:editId="5CCBE33D">
              <wp:simplePos x="635" y="635"/>
              <wp:positionH relativeFrom="page">
                <wp:align>center</wp:align>
              </wp:positionH>
              <wp:positionV relativeFrom="page">
                <wp:align>bottom</wp:align>
              </wp:positionV>
              <wp:extent cx="2324100" cy="370205"/>
              <wp:effectExtent l="0" t="0" r="0" b="0"/>
              <wp:wrapNone/>
              <wp:docPr id="858507869"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24100" cy="370205"/>
                      </a:xfrm>
                      <a:prstGeom prst="rect">
                        <a:avLst/>
                      </a:prstGeom>
                      <a:noFill/>
                      <a:ln>
                        <a:noFill/>
                      </a:ln>
                    </wps:spPr>
                    <wps:txbx>
                      <w:txbxContent>
                        <w:p w14:paraId="21D50D22" w14:textId="05659577" w:rsidR="0043010E" w:rsidRPr="0043010E" w:rsidRDefault="0043010E" w:rsidP="0043010E">
                          <w:pPr>
                            <w:spacing w:after="0"/>
                            <w:rPr>
                              <w:rFonts w:ascii="Calibri" w:eastAsia="Calibri" w:hAnsi="Calibri" w:cs="Calibri"/>
                              <w:noProof/>
                              <w:color w:val="000000"/>
                              <w:sz w:val="20"/>
                              <w:szCs w:val="20"/>
                            </w:rPr>
                          </w:pPr>
                          <w:r w:rsidRPr="0043010E">
                            <w:rPr>
                              <w:rFonts w:ascii="Calibri" w:eastAsia="Calibri" w:hAnsi="Calibri" w:cs="Calibri"/>
                              <w:noProof/>
                              <w:color w:val="000000"/>
                              <w:sz w:val="2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75CFB2" id="_x0000_t202" coordsize="21600,21600" o:spt="202" path="m,l,21600r21600,l21600,xe">
              <v:stroke joinstyle="miter"/>
              <v:path gradientshapeok="t" o:connecttype="rect"/>
            </v:shapetype>
            <v:shape id="Text Box 1" o:spid="_x0000_s1028" type="#_x0000_t202" alt="Loyola University Maryland Internal Use Only" style="position:absolute;margin-left:0;margin-top:0;width:183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7uACgIAABYEAAAOAAAAZHJzL2Uyb0RvYy54bWysU01v2zAMvQ/YfxB0X+yk6z6MOEXWIsOA&#10;oi2QDj0rshQbsESBUmJnv36UbCdbt9Owi0yT1CP5+LS86U3Ljgp9A7bk81nOmbISqsbuS/79efPu&#10;E2c+CFuJFqwq+Ul5frN6+2bZuUItoIa2UsgIxPqicyWvQ3BFlnlZKyP8DJyyFNSARgT6xX1WoegI&#10;3bTZIs8/ZB1g5RCk8p68d0OQrxK+1kqGR629CqwtOfUW0onp3MUzWy1FsUfh6kaObYh/6MKIxlLR&#10;M9SdCIIdsPkDyjQSwYMOMwkmA60bqdIMNM08fzXNthZOpVmIHO/ONPn/Bysfjlv3hCz0X6CnBUZC&#10;OucLT844T6/RxC91yihOFJ7OtKk+MEnOxdXi/TynkKTY1cd8kV9HmOxy26EPXxUYFo2SI60lsSWO&#10;9z4MqVNKLGZh07RtWk1rf3MQZvRklxajFfpdP/a9g+pE4yAMm/ZObhqqeS98eBJIq6U2Sa7hkQ7d&#10;QldyGC3OasAff/PHfGKcopx1JJWSW9IyZ+03S5uIqpoMnIxdMuaf8+vIiz2YWyABzuktOJlM8mJo&#10;J1MjmBcS8joWopCwksqVfDeZt2HQLD0EqdbrlEQCciLc262TETryFEl87l8EupHpQDt6gElHonhF&#10;+JAbb3q3PgSiPW0jcjoQOVJN4kv7HB9KVPev/ynr8pxXPwEAAP//AwBQSwMEFAAGAAgAAAAhABbv&#10;NEzaAAAABAEAAA8AAABkcnMvZG93bnJldi54bWxMj01rwzAMhu+D/gejwm6rs4aFksUpo9BTy6Af&#10;l91cW03SxnKInTb999N22S6Cl1c8elQsR9eKG/ah8aTgdZaAQDLeNlQpOB7WLwsQIWqyuvWECh4Y&#10;YFlOngqdW3+nHd72sRIMoZBrBXWMXS5lMDU6HWa+Q+Lu7HunI8e+krbXd4a7Vs6TJJNON8QXat3h&#10;qkZz3Q9OwdsubodPOqRf4/xx2XQrk543Rqnn6fjxDiLiGP+W4Uef1aFkp5MfyAbRKuBH4u/kLs0y&#10;jicGL1KQZSH/y5ffAAAA//8DAFBLAQItABQABgAIAAAAIQC2gziS/gAAAOEBAAATAAAAAAAAAAAA&#10;AAAAAAAAAABbQ29udGVudF9UeXBlc10ueG1sUEsBAi0AFAAGAAgAAAAhADj9If/WAAAAlAEAAAsA&#10;AAAAAAAAAAAAAAAALwEAAF9yZWxzLy5yZWxzUEsBAi0AFAAGAAgAAAAhAOZHu4AKAgAAFgQAAA4A&#10;AAAAAAAAAAAAAAAALgIAAGRycy9lMm9Eb2MueG1sUEsBAi0AFAAGAAgAAAAhABbvNEzaAAAABAEA&#10;AA8AAAAAAAAAAAAAAAAAZAQAAGRycy9kb3ducmV2LnhtbFBLBQYAAAAABAAEAPMAAABrBQAAAAA=&#10;" filled="f" stroked="f">
              <v:fill o:detectmouseclick="t"/>
              <v:textbox style="mso-fit-shape-to-text:t" inset="0,0,0,15pt">
                <w:txbxContent>
                  <w:p w14:paraId="21D50D22" w14:textId="05659577" w:rsidR="0043010E" w:rsidRPr="0043010E" w:rsidRDefault="0043010E" w:rsidP="0043010E">
                    <w:pPr>
                      <w:spacing w:after="0"/>
                      <w:rPr>
                        <w:rFonts w:ascii="Calibri" w:eastAsia="Calibri" w:hAnsi="Calibri" w:cs="Calibri"/>
                        <w:noProof/>
                        <w:color w:val="000000"/>
                        <w:sz w:val="20"/>
                        <w:szCs w:val="20"/>
                      </w:rPr>
                    </w:pPr>
                    <w:r w:rsidRPr="0043010E">
                      <w:rPr>
                        <w:rFonts w:ascii="Calibri" w:eastAsia="Calibri" w:hAnsi="Calibri" w:cs="Calibri"/>
                        <w:noProof/>
                        <w:color w:val="000000"/>
                        <w:sz w:val="2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000C" w14:textId="77777777" w:rsidR="000A5DDE" w:rsidRDefault="000A5DDE" w:rsidP="0043010E">
      <w:pPr>
        <w:spacing w:after="0" w:line="240" w:lineRule="auto"/>
      </w:pPr>
      <w:r>
        <w:separator/>
      </w:r>
    </w:p>
  </w:footnote>
  <w:footnote w:type="continuationSeparator" w:id="0">
    <w:p w14:paraId="10A45B8A" w14:textId="77777777" w:rsidR="000A5DDE" w:rsidRDefault="000A5DDE" w:rsidP="004301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3B"/>
    <w:rsid w:val="000A5DDE"/>
    <w:rsid w:val="00133545"/>
    <w:rsid w:val="0014056A"/>
    <w:rsid w:val="001412AE"/>
    <w:rsid w:val="003000FB"/>
    <w:rsid w:val="003341AA"/>
    <w:rsid w:val="00356E35"/>
    <w:rsid w:val="003E53B6"/>
    <w:rsid w:val="003F4DEE"/>
    <w:rsid w:val="0043010E"/>
    <w:rsid w:val="0044128D"/>
    <w:rsid w:val="00454B3B"/>
    <w:rsid w:val="004728B4"/>
    <w:rsid w:val="005F32BE"/>
    <w:rsid w:val="00650D8F"/>
    <w:rsid w:val="006E70E2"/>
    <w:rsid w:val="00701378"/>
    <w:rsid w:val="0077448B"/>
    <w:rsid w:val="008012C2"/>
    <w:rsid w:val="0082457C"/>
    <w:rsid w:val="0085462E"/>
    <w:rsid w:val="008D00E5"/>
    <w:rsid w:val="008F0192"/>
    <w:rsid w:val="00963A94"/>
    <w:rsid w:val="009E5618"/>
    <w:rsid w:val="00CC16D9"/>
    <w:rsid w:val="00E1145A"/>
    <w:rsid w:val="00EF4C84"/>
    <w:rsid w:val="00F11E4F"/>
    <w:rsid w:val="00F40E04"/>
    <w:rsid w:val="00FB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C88B"/>
  <w15:chartTrackingRefBased/>
  <w15:docId w15:val="{9434DBC3-F682-45C1-A297-055CBE65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B3B"/>
    <w:rPr>
      <w:rFonts w:eastAsiaTheme="majorEastAsia" w:cstheme="majorBidi"/>
      <w:color w:val="272727" w:themeColor="text1" w:themeTint="D8"/>
    </w:rPr>
  </w:style>
  <w:style w:type="paragraph" w:styleId="Title">
    <w:name w:val="Title"/>
    <w:basedOn w:val="Normal"/>
    <w:next w:val="Normal"/>
    <w:link w:val="TitleChar"/>
    <w:uiPriority w:val="10"/>
    <w:qFormat/>
    <w:rsid w:val="00454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B3B"/>
    <w:pPr>
      <w:spacing w:before="160"/>
      <w:jc w:val="center"/>
    </w:pPr>
    <w:rPr>
      <w:i/>
      <w:iCs/>
      <w:color w:val="404040" w:themeColor="text1" w:themeTint="BF"/>
    </w:rPr>
  </w:style>
  <w:style w:type="character" w:customStyle="1" w:styleId="QuoteChar">
    <w:name w:val="Quote Char"/>
    <w:basedOn w:val="DefaultParagraphFont"/>
    <w:link w:val="Quote"/>
    <w:uiPriority w:val="29"/>
    <w:rsid w:val="00454B3B"/>
    <w:rPr>
      <w:i/>
      <w:iCs/>
      <w:color w:val="404040" w:themeColor="text1" w:themeTint="BF"/>
    </w:rPr>
  </w:style>
  <w:style w:type="paragraph" w:styleId="ListParagraph">
    <w:name w:val="List Paragraph"/>
    <w:basedOn w:val="Normal"/>
    <w:uiPriority w:val="34"/>
    <w:qFormat/>
    <w:rsid w:val="00454B3B"/>
    <w:pPr>
      <w:ind w:left="720"/>
      <w:contextualSpacing/>
    </w:pPr>
  </w:style>
  <w:style w:type="character" w:styleId="IntenseEmphasis">
    <w:name w:val="Intense Emphasis"/>
    <w:basedOn w:val="DefaultParagraphFont"/>
    <w:uiPriority w:val="21"/>
    <w:qFormat/>
    <w:rsid w:val="00454B3B"/>
    <w:rPr>
      <w:i/>
      <w:iCs/>
      <w:color w:val="0F4761" w:themeColor="accent1" w:themeShade="BF"/>
    </w:rPr>
  </w:style>
  <w:style w:type="paragraph" w:styleId="IntenseQuote">
    <w:name w:val="Intense Quote"/>
    <w:basedOn w:val="Normal"/>
    <w:next w:val="Normal"/>
    <w:link w:val="IntenseQuoteChar"/>
    <w:uiPriority w:val="30"/>
    <w:qFormat/>
    <w:rsid w:val="00454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B3B"/>
    <w:rPr>
      <w:i/>
      <w:iCs/>
      <w:color w:val="0F4761" w:themeColor="accent1" w:themeShade="BF"/>
    </w:rPr>
  </w:style>
  <w:style w:type="character" w:styleId="IntenseReference">
    <w:name w:val="Intense Reference"/>
    <w:basedOn w:val="DefaultParagraphFont"/>
    <w:uiPriority w:val="32"/>
    <w:qFormat/>
    <w:rsid w:val="00454B3B"/>
    <w:rPr>
      <w:b/>
      <w:bCs/>
      <w:smallCaps/>
      <w:color w:val="0F4761" w:themeColor="accent1" w:themeShade="BF"/>
      <w:spacing w:val="5"/>
    </w:rPr>
  </w:style>
  <w:style w:type="table" w:styleId="TableGrid">
    <w:name w:val="Table Grid"/>
    <w:basedOn w:val="TableNormal"/>
    <w:uiPriority w:val="39"/>
    <w:rsid w:val="00454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30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10E"/>
  </w:style>
  <w:style w:type="character" w:styleId="Hyperlink">
    <w:name w:val="Hyperlink"/>
    <w:basedOn w:val="DefaultParagraphFont"/>
    <w:uiPriority w:val="99"/>
    <w:unhideWhenUsed/>
    <w:rsid w:val="008012C2"/>
    <w:rPr>
      <w:color w:val="467886" w:themeColor="hyperlink"/>
      <w:u w:val="single"/>
    </w:rPr>
  </w:style>
  <w:style w:type="character" w:styleId="UnresolvedMention">
    <w:name w:val="Unresolved Mention"/>
    <w:basedOn w:val="DefaultParagraphFont"/>
    <w:uiPriority w:val="99"/>
    <w:semiHidden/>
    <w:unhideWhenUsed/>
    <w:rsid w:val="008012C2"/>
    <w:rPr>
      <w:color w:val="605E5C"/>
      <w:shd w:val="clear" w:color="auto" w:fill="E1DFDD"/>
    </w:rPr>
  </w:style>
  <w:style w:type="character" w:styleId="FollowedHyperlink">
    <w:name w:val="FollowedHyperlink"/>
    <w:basedOn w:val="DefaultParagraphFont"/>
    <w:uiPriority w:val="99"/>
    <w:semiHidden/>
    <w:unhideWhenUsed/>
    <w:rsid w:val="001335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yola.edu/_media/department/financial-services/documents/university-policies/independent-contractor-consultant-requisition-form.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oyola.edu/_media/department/financial-services/documents/gifts-employees-students.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yola.edu/_media/department/financial-services/documents/gifts-employees-students.pdf"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Loyola University Maryland</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Hecklinger</dc:creator>
  <cp:keywords/>
  <dc:description/>
  <cp:lastModifiedBy>Alanna Anderson</cp:lastModifiedBy>
  <cp:revision>3</cp:revision>
  <dcterms:created xsi:type="dcterms:W3CDTF">2026-07-20T19:37:00Z</dcterms:created>
  <dcterms:modified xsi:type="dcterms:W3CDTF">2026-07-20T19:39:00Z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332bca5d,3c0a6c35,f096ac3</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2025-06-27T13:41:23Z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224f1dbc-f6dd-43b5-b231-0501e0a53fdc</vt:lpwstr>
  </property>
  <property fmtid="{D5CDD505-2E9C-101B-9397-08002B2CF9AE}" pid="11" name="MSIP_Label_6da50fe2-ad8e-4b2e-b16c-4bb0954d6763_ContentBits">
    <vt:lpwstr>2</vt:lpwstr>
  </property>
  <property fmtid="{D5CDD505-2E9C-101B-9397-08002B2CF9AE}" pid="12" name="MSIP_Label_6da50fe2-ad8e-4b2e-b16c-4bb0954d6763_Tag">
    <vt:lpwstr>10, 3, 0, 1</vt:lpwstr>
  </property>
</Properties>
</file>