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71"/>
        <w:tblW w:w="9760" w:type="dxa"/>
        <w:tblLook w:val="04A0" w:firstRow="1" w:lastRow="0" w:firstColumn="1" w:lastColumn="0" w:noHBand="0" w:noVBand="1"/>
      </w:tblPr>
      <w:tblGrid>
        <w:gridCol w:w="3475"/>
        <w:gridCol w:w="6285"/>
      </w:tblGrid>
      <w:tr w:rsidR="00627BD0" w:rsidRPr="00627BD0" w14:paraId="6FE3D49E" w14:textId="77777777" w:rsidTr="6282AC2F">
        <w:trPr>
          <w:trHeight w:val="527"/>
        </w:trPr>
        <w:tc>
          <w:tcPr>
            <w:tcW w:w="9760" w:type="dxa"/>
            <w:gridSpan w:val="2"/>
          </w:tcPr>
          <w:p w14:paraId="3D860A17" w14:textId="4506F02A" w:rsidR="00627BD0" w:rsidRPr="00627BD0" w:rsidRDefault="00CC18FC" w:rsidP="00627BD0">
            <w:pPr>
              <w:pStyle w:val="NoSpacing"/>
              <w:jc w:val="center"/>
              <w:rPr>
                <w:b/>
                <w:sz w:val="24"/>
                <w:szCs w:val="24"/>
              </w:rPr>
            </w:pPr>
            <w:r>
              <w:rPr>
                <w:b/>
                <w:sz w:val="24"/>
                <w:szCs w:val="24"/>
              </w:rPr>
              <w:br/>
            </w:r>
            <w:r w:rsidR="00627BD0" w:rsidRPr="00627BD0">
              <w:rPr>
                <w:b/>
                <w:sz w:val="24"/>
                <w:szCs w:val="24"/>
              </w:rPr>
              <w:t>Decoding Loyola Speak</w:t>
            </w:r>
          </w:p>
          <w:p w14:paraId="36386608" w14:textId="77777777" w:rsidR="00CC18FC" w:rsidRDefault="00627BD0" w:rsidP="00627BD0">
            <w:pPr>
              <w:pStyle w:val="NoSpacing"/>
              <w:jc w:val="center"/>
              <w:rPr>
                <w:i/>
                <w:sz w:val="24"/>
                <w:szCs w:val="24"/>
              </w:rPr>
            </w:pPr>
            <w:r w:rsidRPr="00627BD0">
              <w:rPr>
                <w:i/>
                <w:sz w:val="24"/>
                <w:szCs w:val="24"/>
              </w:rPr>
              <w:t>A cheat sheet of common Loyola acronyms for new faculty</w:t>
            </w:r>
          </w:p>
          <w:p w14:paraId="31B4606C" w14:textId="53B34DCB" w:rsidR="00627BD0" w:rsidRPr="00627BD0" w:rsidRDefault="00627BD0" w:rsidP="00627BD0">
            <w:pPr>
              <w:pStyle w:val="NoSpacing"/>
              <w:jc w:val="center"/>
              <w:rPr>
                <w:i/>
                <w:sz w:val="24"/>
                <w:szCs w:val="24"/>
              </w:rPr>
            </w:pPr>
            <w:r w:rsidRPr="00627BD0">
              <w:rPr>
                <w:i/>
                <w:sz w:val="24"/>
                <w:szCs w:val="24"/>
              </w:rPr>
              <w:t>…because sometimes we forget our own short cuts</w:t>
            </w:r>
            <w:r>
              <w:rPr>
                <w:i/>
                <w:sz w:val="24"/>
                <w:szCs w:val="24"/>
              </w:rPr>
              <w:t>!</w:t>
            </w:r>
            <w:r w:rsidR="00CC18FC">
              <w:rPr>
                <w:i/>
                <w:sz w:val="24"/>
                <w:szCs w:val="24"/>
              </w:rPr>
              <w:br/>
            </w:r>
          </w:p>
        </w:tc>
      </w:tr>
      <w:tr w:rsidR="00627BD0" w:rsidRPr="00627BD0" w14:paraId="233F8103" w14:textId="77777777" w:rsidTr="000412C2">
        <w:trPr>
          <w:trHeight w:val="857"/>
        </w:trPr>
        <w:tc>
          <w:tcPr>
            <w:tcW w:w="3475" w:type="dxa"/>
            <w:vAlign w:val="center"/>
          </w:tcPr>
          <w:p w14:paraId="586B5854" w14:textId="77777777" w:rsidR="00627BD0" w:rsidRPr="00627BD0" w:rsidRDefault="00627BD0" w:rsidP="005C1CFE">
            <w:pPr>
              <w:pStyle w:val="NoSpacing"/>
              <w:jc w:val="center"/>
              <w:rPr>
                <w:b/>
                <w:sz w:val="20"/>
                <w:szCs w:val="20"/>
              </w:rPr>
            </w:pPr>
            <w:r w:rsidRPr="00627BD0">
              <w:rPr>
                <w:b/>
                <w:sz w:val="20"/>
                <w:szCs w:val="20"/>
              </w:rPr>
              <w:t>AASC</w:t>
            </w:r>
          </w:p>
          <w:p w14:paraId="124BADCA" w14:textId="5DA7DCE3" w:rsidR="00627BD0" w:rsidRPr="00125252" w:rsidRDefault="00627BD0" w:rsidP="005C1CFE">
            <w:pPr>
              <w:pStyle w:val="NoSpacing"/>
              <w:jc w:val="center"/>
              <w:rPr>
                <w:sz w:val="20"/>
                <w:szCs w:val="20"/>
                <w:lang w:val="en"/>
              </w:rPr>
            </w:pPr>
            <w:r w:rsidRPr="00627BD0">
              <w:rPr>
                <w:sz w:val="20"/>
                <w:szCs w:val="20"/>
                <w:lang w:val="en"/>
              </w:rPr>
              <w:t>Academic Advising and Support Center</w:t>
            </w:r>
          </w:p>
        </w:tc>
        <w:tc>
          <w:tcPr>
            <w:tcW w:w="6285" w:type="dxa"/>
            <w:vAlign w:val="center"/>
          </w:tcPr>
          <w:p w14:paraId="29B516FC" w14:textId="77777777" w:rsidR="00627BD0" w:rsidRPr="00627BD0" w:rsidRDefault="00627BD0" w:rsidP="000412C2">
            <w:pPr>
              <w:pStyle w:val="NoSpacing"/>
              <w:rPr>
                <w:sz w:val="20"/>
                <w:szCs w:val="20"/>
                <w:lang w:val="en"/>
              </w:rPr>
            </w:pPr>
            <w:r w:rsidRPr="00627BD0">
              <w:rPr>
                <w:color w:val="242123"/>
                <w:sz w:val="20"/>
                <w:szCs w:val="20"/>
                <w:shd w:val="clear" w:color="auto" w:fill="FFFFFF"/>
              </w:rPr>
              <w:t>Serves as a resource for the core and major advisors who work with students throughout their undergraduate career.</w:t>
            </w:r>
          </w:p>
        </w:tc>
      </w:tr>
      <w:tr w:rsidR="00627BD0" w:rsidRPr="00627BD0" w14:paraId="360DB498" w14:textId="77777777" w:rsidTr="000412C2">
        <w:trPr>
          <w:trHeight w:val="527"/>
        </w:trPr>
        <w:tc>
          <w:tcPr>
            <w:tcW w:w="3475" w:type="dxa"/>
            <w:vAlign w:val="center"/>
          </w:tcPr>
          <w:p w14:paraId="35890B18" w14:textId="3632A4F6" w:rsidR="00627BD0" w:rsidRPr="00627BD0" w:rsidRDefault="00627BD0" w:rsidP="005C1CFE">
            <w:pPr>
              <w:pStyle w:val="NoSpacing"/>
              <w:jc w:val="center"/>
              <w:rPr>
                <w:b/>
                <w:sz w:val="20"/>
                <w:szCs w:val="20"/>
              </w:rPr>
            </w:pPr>
            <w:r w:rsidRPr="00627BD0">
              <w:rPr>
                <w:b/>
                <w:sz w:val="20"/>
                <w:szCs w:val="20"/>
              </w:rPr>
              <w:t>ALANA</w:t>
            </w:r>
          </w:p>
          <w:p w14:paraId="477EDDA3" w14:textId="72D56A30" w:rsidR="00627BD0" w:rsidRPr="00125252" w:rsidRDefault="00627BD0" w:rsidP="005C1CFE">
            <w:pPr>
              <w:pStyle w:val="NoSpacing"/>
              <w:jc w:val="center"/>
              <w:rPr>
                <w:sz w:val="20"/>
                <w:szCs w:val="20"/>
                <w:lang w:val="en"/>
              </w:rPr>
            </w:pPr>
            <w:r w:rsidRPr="00627BD0">
              <w:rPr>
                <w:sz w:val="20"/>
                <w:szCs w:val="20"/>
                <w:lang w:val="en"/>
              </w:rPr>
              <w:t>African, Latino, Asian and Native American Services</w:t>
            </w:r>
          </w:p>
        </w:tc>
        <w:tc>
          <w:tcPr>
            <w:tcW w:w="6285" w:type="dxa"/>
            <w:vAlign w:val="center"/>
          </w:tcPr>
          <w:p w14:paraId="2D306E8C" w14:textId="77777777" w:rsidR="00627BD0" w:rsidRPr="00627BD0" w:rsidRDefault="00627BD0" w:rsidP="000412C2">
            <w:pPr>
              <w:pStyle w:val="NoSpacing"/>
              <w:rPr>
                <w:rStyle w:val="apple-converted-space"/>
                <w:sz w:val="20"/>
                <w:szCs w:val="20"/>
                <w:lang w:val="en"/>
              </w:rPr>
            </w:pPr>
            <w:r w:rsidRPr="00627BD0">
              <w:rPr>
                <w:sz w:val="20"/>
                <w:szCs w:val="20"/>
                <w:lang w:val="en"/>
              </w:rPr>
              <w:t>Provides support, services, and programs that encourage the success of ALANA students.</w:t>
            </w:r>
          </w:p>
        </w:tc>
      </w:tr>
      <w:tr w:rsidR="00627BD0" w:rsidRPr="00627BD0" w14:paraId="100EC6C7" w14:textId="77777777" w:rsidTr="00FA403B">
        <w:trPr>
          <w:trHeight w:val="1127"/>
        </w:trPr>
        <w:tc>
          <w:tcPr>
            <w:tcW w:w="3475" w:type="dxa"/>
            <w:vAlign w:val="center"/>
          </w:tcPr>
          <w:p w14:paraId="1CB7D4AC" w14:textId="77777777" w:rsidR="00627BD0" w:rsidRPr="00627BD0" w:rsidRDefault="00627BD0" w:rsidP="005C1CFE">
            <w:pPr>
              <w:pStyle w:val="NoSpacing"/>
              <w:jc w:val="center"/>
              <w:rPr>
                <w:b/>
                <w:sz w:val="20"/>
                <w:szCs w:val="20"/>
              </w:rPr>
            </w:pPr>
            <w:r w:rsidRPr="00627BD0">
              <w:rPr>
                <w:b/>
                <w:sz w:val="20"/>
                <w:szCs w:val="20"/>
              </w:rPr>
              <w:t>AS</w:t>
            </w:r>
          </w:p>
          <w:p w14:paraId="53669D47" w14:textId="77777777" w:rsidR="00627BD0" w:rsidRPr="00627BD0" w:rsidRDefault="00627BD0" w:rsidP="005C1CFE">
            <w:pPr>
              <w:pStyle w:val="NoSpacing"/>
              <w:jc w:val="center"/>
              <w:rPr>
                <w:b/>
                <w:sz w:val="20"/>
                <w:szCs w:val="20"/>
              </w:rPr>
            </w:pPr>
            <w:r w:rsidRPr="00627BD0">
              <w:rPr>
                <w:sz w:val="20"/>
                <w:szCs w:val="20"/>
                <w:lang w:val="en"/>
              </w:rPr>
              <w:t>Academic Senate</w:t>
            </w:r>
          </w:p>
        </w:tc>
        <w:tc>
          <w:tcPr>
            <w:tcW w:w="6285" w:type="dxa"/>
            <w:vAlign w:val="center"/>
          </w:tcPr>
          <w:p w14:paraId="45F2D629" w14:textId="3F701696" w:rsidR="00627BD0" w:rsidRPr="00125252" w:rsidRDefault="00627BD0" w:rsidP="000412C2">
            <w:pPr>
              <w:pStyle w:val="NoSpacing"/>
              <w:rPr>
                <w:sz w:val="20"/>
                <w:szCs w:val="20"/>
              </w:rPr>
            </w:pPr>
            <w:r w:rsidRPr="00627BD0">
              <w:rPr>
                <w:sz w:val="20"/>
                <w:szCs w:val="20"/>
              </w:rPr>
              <w:t>Charged with establishing and maintaining the academic excellence of Loyola University. The Academic Senate monitors academic conduct and approves programs, policies, and resource utilizations with the objective of improving the educational effectiveness of the University.</w:t>
            </w:r>
          </w:p>
        </w:tc>
      </w:tr>
      <w:tr w:rsidR="00627BD0" w:rsidRPr="00627BD0" w14:paraId="3CC5E564" w14:textId="77777777" w:rsidTr="00FA403B">
        <w:trPr>
          <w:trHeight w:val="1235"/>
        </w:trPr>
        <w:tc>
          <w:tcPr>
            <w:tcW w:w="3475" w:type="dxa"/>
            <w:vAlign w:val="center"/>
          </w:tcPr>
          <w:p w14:paraId="6D5CBB0E" w14:textId="77777777" w:rsidR="00627BD0" w:rsidRPr="00627BD0" w:rsidRDefault="00627BD0" w:rsidP="005C1CFE">
            <w:pPr>
              <w:pStyle w:val="NoSpacing"/>
              <w:jc w:val="center"/>
              <w:rPr>
                <w:b/>
                <w:sz w:val="20"/>
                <w:szCs w:val="20"/>
              </w:rPr>
            </w:pPr>
            <w:r w:rsidRPr="00627BD0">
              <w:rPr>
                <w:b/>
                <w:sz w:val="20"/>
                <w:szCs w:val="20"/>
              </w:rPr>
              <w:t>BRT</w:t>
            </w:r>
          </w:p>
          <w:p w14:paraId="1980E992" w14:textId="3158D8D0" w:rsidR="00627BD0" w:rsidRPr="00627BD0" w:rsidRDefault="00191078" w:rsidP="005C1CFE">
            <w:pPr>
              <w:pStyle w:val="NoSpacing"/>
              <w:jc w:val="center"/>
              <w:rPr>
                <w:sz w:val="20"/>
                <w:szCs w:val="20"/>
              </w:rPr>
            </w:pPr>
            <w:r>
              <w:rPr>
                <w:sz w:val="20"/>
                <w:szCs w:val="20"/>
              </w:rPr>
              <w:t>Board on</w:t>
            </w:r>
            <w:r w:rsidR="00627BD0" w:rsidRPr="00627BD0">
              <w:rPr>
                <w:sz w:val="20"/>
                <w:szCs w:val="20"/>
              </w:rPr>
              <w:t xml:space="preserve"> Rank and Tenure</w:t>
            </w:r>
          </w:p>
          <w:p w14:paraId="018D45A8" w14:textId="77777777" w:rsidR="00627BD0" w:rsidRPr="00627BD0" w:rsidRDefault="00627BD0" w:rsidP="005C1CFE">
            <w:pPr>
              <w:pStyle w:val="NoSpacing"/>
              <w:jc w:val="center"/>
              <w:rPr>
                <w:b/>
                <w:sz w:val="20"/>
                <w:szCs w:val="20"/>
              </w:rPr>
            </w:pPr>
          </w:p>
        </w:tc>
        <w:tc>
          <w:tcPr>
            <w:tcW w:w="6285" w:type="dxa"/>
            <w:vAlign w:val="center"/>
          </w:tcPr>
          <w:p w14:paraId="60F54787" w14:textId="1945E255" w:rsidR="00627BD0" w:rsidRPr="00627BD0" w:rsidRDefault="00627BD0" w:rsidP="000412C2">
            <w:pPr>
              <w:pStyle w:val="NoSpacing"/>
              <w:rPr>
                <w:rStyle w:val="apple-converted-space"/>
                <w:sz w:val="20"/>
                <w:szCs w:val="20"/>
              </w:rPr>
            </w:pPr>
            <w:r w:rsidRPr="00627BD0">
              <w:rPr>
                <w:rStyle w:val="apple-converted-space"/>
                <w:sz w:val="20"/>
                <w:szCs w:val="20"/>
              </w:rPr>
              <w:t>The main function of the Board is to provide a distinct academic and professional judgment on the qualifications of new faculty appointments at the rank of Associate Professor or Professor, promotion, the granting of tenure, and dismissal proceedings, in the initial stages.</w:t>
            </w:r>
          </w:p>
        </w:tc>
      </w:tr>
      <w:tr w:rsidR="00627BD0" w:rsidRPr="00627BD0" w14:paraId="13CCCEE0" w14:textId="77777777" w:rsidTr="00FA403B">
        <w:trPr>
          <w:trHeight w:val="1145"/>
        </w:trPr>
        <w:tc>
          <w:tcPr>
            <w:tcW w:w="3475" w:type="dxa"/>
            <w:vAlign w:val="center"/>
          </w:tcPr>
          <w:p w14:paraId="40520638" w14:textId="77777777" w:rsidR="00627BD0" w:rsidRPr="00627BD0" w:rsidRDefault="00627BD0" w:rsidP="005C1CFE">
            <w:pPr>
              <w:pStyle w:val="NoSpacing"/>
              <w:jc w:val="center"/>
              <w:rPr>
                <w:b/>
                <w:sz w:val="20"/>
                <w:szCs w:val="20"/>
              </w:rPr>
            </w:pPr>
            <w:r w:rsidRPr="00627BD0">
              <w:rPr>
                <w:b/>
                <w:sz w:val="20"/>
                <w:szCs w:val="20"/>
              </w:rPr>
              <w:t>CCSJ</w:t>
            </w:r>
          </w:p>
          <w:p w14:paraId="25C566DD" w14:textId="77777777" w:rsidR="00627BD0" w:rsidRPr="00627BD0" w:rsidRDefault="00627BD0" w:rsidP="005C1CFE">
            <w:pPr>
              <w:pStyle w:val="NoSpacing"/>
              <w:jc w:val="center"/>
              <w:rPr>
                <w:sz w:val="20"/>
                <w:szCs w:val="20"/>
              </w:rPr>
            </w:pPr>
            <w:r w:rsidRPr="00627BD0">
              <w:rPr>
                <w:sz w:val="20"/>
                <w:szCs w:val="20"/>
              </w:rPr>
              <w:t>Center for Community Service and Justice</w:t>
            </w:r>
          </w:p>
          <w:p w14:paraId="210801EE" w14:textId="77777777" w:rsidR="00627BD0" w:rsidRPr="00627BD0" w:rsidRDefault="00627BD0" w:rsidP="005C1CFE">
            <w:pPr>
              <w:pStyle w:val="NoSpacing"/>
              <w:jc w:val="center"/>
              <w:rPr>
                <w:b/>
                <w:sz w:val="20"/>
                <w:szCs w:val="20"/>
              </w:rPr>
            </w:pPr>
          </w:p>
        </w:tc>
        <w:tc>
          <w:tcPr>
            <w:tcW w:w="6285" w:type="dxa"/>
            <w:vAlign w:val="center"/>
          </w:tcPr>
          <w:p w14:paraId="441FD21F" w14:textId="3C020597" w:rsidR="00627BD0" w:rsidRPr="00627BD0" w:rsidRDefault="00627BD0" w:rsidP="000412C2">
            <w:pPr>
              <w:pStyle w:val="NoSpacing"/>
              <w:rPr>
                <w:rFonts w:cs="Times New Roman"/>
                <w:color w:val="242123"/>
                <w:sz w:val="20"/>
                <w:szCs w:val="20"/>
                <w:shd w:val="clear" w:color="auto" w:fill="FFFFFF"/>
              </w:rPr>
            </w:pPr>
            <w:r w:rsidRPr="00627BD0">
              <w:rPr>
                <w:rStyle w:val="apple-converted-space"/>
                <w:rFonts w:cs="Times New Roman"/>
                <w:color w:val="242123"/>
                <w:sz w:val="20"/>
                <w:szCs w:val="20"/>
                <w:shd w:val="clear" w:color="auto" w:fill="FFFFFF"/>
              </w:rPr>
              <w:t xml:space="preserve">Engages </w:t>
            </w:r>
            <w:r w:rsidRPr="00627BD0">
              <w:rPr>
                <w:color w:val="242123"/>
                <w:sz w:val="20"/>
                <w:szCs w:val="20"/>
                <w:shd w:val="clear" w:color="auto" w:fill="FFFFFF"/>
              </w:rPr>
              <w:t>students and the broader Loyola community in education through service for a just and equitable world.</w:t>
            </w:r>
            <w:r w:rsidR="00550850">
              <w:rPr>
                <w:rStyle w:val="apple-converted-space"/>
                <w:rFonts w:cs="Times New Roman"/>
                <w:color w:val="242123"/>
                <w:sz w:val="20"/>
                <w:szCs w:val="20"/>
                <w:shd w:val="clear" w:color="auto" w:fill="FFFFFF"/>
              </w:rPr>
              <w:t xml:space="preserve"> </w:t>
            </w:r>
            <w:r w:rsidRPr="00627BD0">
              <w:rPr>
                <w:rStyle w:val="apple-converted-space"/>
                <w:rFonts w:cs="Times New Roman"/>
                <w:color w:val="242123"/>
                <w:sz w:val="20"/>
                <w:szCs w:val="20"/>
                <w:shd w:val="clear" w:color="auto" w:fill="FFFFFF"/>
              </w:rPr>
              <w:t>Also houses Service-learning which offers support for faculty who wish to incorporate service into their courses.</w:t>
            </w:r>
          </w:p>
        </w:tc>
      </w:tr>
      <w:tr w:rsidR="00384830" w:rsidRPr="00627BD0" w14:paraId="5C68AA41" w14:textId="77777777" w:rsidTr="00FA403B">
        <w:trPr>
          <w:trHeight w:val="1325"/>
        </w:trPr>
        <w:tc>
          <w:tcPr>
            <w:tcW w:w="3475" w:type="dxa"/>
            <w:vAlign w:val="center"/>
          </w:tcPr>
          <w:p w14:paraId="36586B96" w14:textId="79242983" w:rsidR="00384830" w:rsidRDefault="00384830" w:rsidP="005C1CFE">
            <w:pPr>
              <w:pStyle w:val="NoSpacing"/>
              <w:jc w:val="center"/>
              <w:rPr>
                <w:b/>
                <w:sz w:val="20"/>
                <w:szCs w:val="20"/>
              </w:rPr>
            </w:pPr>
            <w:r>
              <w:rPr>
                <w:b/>
                <w:sz w:val="20"/>
                <w:szCs w:val="20"/>
              </w:rPr>
              <w:t>CFH</w:t>
            </w:r>
          </w:p>
          <w:p w14:paraId="5C53AF34" w14:textId="7B59867D" w:rsidR="00384830" w:rsidRPr="00384830" w:rsidRDefault="00384830" w:rsidP="005C1CFE">
            <w:pPr>
              <w:pStyle w:val="NoSpacing"/>
              <w:jc w:val="center"/>
              <w:rPr>
                <w:sz w:val="20"/>
                <w:szCs w:val="20"/>
              </w:rPr>
            </w:pPr>
            <w:r>
              <w:rPr>
                <w:sz w:val="20"/>
                <w:szCs w:val="20"/>
              </w:rPr>
              <w:t>Center for the Humanities</w:t>
            </w:r>
          </w:p>
        </w:tc>
        <w:tc>
          <w:tcPr>
            <w:tcW w:w="6285" w:type="dxa"/>
            <w:vAlign w:val="center"/>
          </w:tcPr>
          <w:p w14:paraId="11754F1C" w14:textId="43B2CE19" w:rsidR="00384830" w:rsidRPr="00627BD0" w:rsidRDefault="00384830" w:rsidP="000412C2">
            <w:pPr>
              <w:pStyle w:val="NoSpacing"/>
              <w:rPr>
                <w:rStyle w:val="apple-converted-space"/>
                <w:rFonts w:cs="Times New Roman"/>
                <w:color w:val="242123"/>
                <w:sz w:val="20"/>
                <w:szCs w:val="20"/>
                <w:shd w:val="clear" w:color="auto" w:fill="FFFFFF"/>
              </w:rPr>
            </w:pPr>
            <w:r>
              <w:rPr>
                <w:rStyle w:val="apple-converted-space"/>
                <w:rFonts w:cs="Times New Roman"/>
                <w:color w:val="242123"/>
                <w:sz w:val="20"/>
                <w:szCs w:val="20"/>
                <w:shd w:val="clear" w:color="auto" w:fill="FFFFFF"/>
              </w:rPr>
              <w:t>The center exists to provide strength and vision to the humanities at Loyola. The center sponsors more than 50 programs a year for faculty development, curricular enhancements, and experiments in teaching for the purpose of extending and enriching students’ undergraduate experience.</w:t>
            </w:r>
          </w:p>
        </w:tc>
      </w:tr>
      <w:tr w:rsidR="00627BD0" w:rsidRPr="00627BD0" w14:paraId="0F7E4C36" w14:textId="77777777" w:rsidTr="000412C2">
        <w:trPr>
          <w:trHeight w:val="407"/>
        </w:trPr>
        <w:tc>
          <w:tcPr>
            <w:tcW w:w="3475" w:type="dxa"/>
            <w:vAlign w:val="center"/>
          </w:tcPr>
          <w:p w14:paraId="49AA7DDE" w14:textId="5AA21709" w:rsidR="00627BD0" w:rsidRPr="00627BD0" w:rsidRDefault="00627BD0" w:rsidP="005C1CFE">
            <w:pPr>
              <w:pStyle w:val="NoSpacing"/>
              <w:jc w:val="center"/>
              <w:rPr>
                <w:b/>
                <w:sz w:val="20"/>
                <w:szCs w:val="20"/>
              </w:rPr>
            </w:pPr>
            <w:r w:rsidRPr="00627BD0">
              <w:rPr>
                <w:b/>
                <w:sz w:val="20"/>
                <w:szCs w:val="20"/>
              </w:rPr>
              <w:t>D</w:t>
            </w:r>
            <w:r w:rsidR="00D719BD">
              <w:rPr>
                <w:b/>
                <w:sz w:val="20"/>
                <w:szCs w:val="20"/>
              </w:rPr>
              <w:t>AS</w:t>
            </w:r>
          </w:p>
          <w:p w14:paraId="2CAB98B9" w14:textId="484EE4EB" w:rsidR="00627BD0" w:rsidRPr="00627BD0" w:rsidRDefault="00627BD0" w:rsidP="005C1CFE">
            <w:pPr>
              <w:pStyle w:val="NoSpacing"/>
              <w:jc w:val="center"/>
              <w:rPr>
                <w:sz w:val="20"/>
                <w:szCs w:val="20"/>
              </w:rPr>
            </w:pPr>
            <w:r w:rsidRPr="00627BD0">
              <w:rPr>
                <w:sz w:val="20"/>
                <w:szCs w:val="20"/>
              </w:rPr>
              <w:t xml:space="preserve">Disability </w:t>
            </w:r>
            <w:r w:rsidR="003632C8">
              <w:rPr>
                <w:sz w:val="20"/>
                <w:szCs w:val="20"/>
              </w:rPr>
              <w:t>and Accessibility</w:t>
            </w:r>
            <w:r w:rsidRPr="00627BD0">
              <w:rPr>
                <w:sz w:val="20"/>
                <w:szCs w:val="20"/>
              </w:rPr>
              <w:t xml:space="preserve"> Services</w:t>
            </w:r>
          </w:p>
          <w:p w14:paraId="4E0EBA56" w14:textId="77777777" w:rsidR="00627BD0" w:rsidRPr="00627BD0" w:rsidRDefault="00627BD0" w:rsidP="005C1CFE">
            <w:pPr>
              <w:pStyle w:val="NoSpacing"/>
              <w:jc w:val="center"/>
              <w:rPr>
                <w:sz w:val="20"/>
                <w:szCs w:val="20"/>
              </w:rPr>
            </w:pPr>
          </w:p>
        </w:tc>
        <w:tc>
          <w:tcPr>
            <w:tcW w:w="6285" w:type="dxa"/>
            <w:vAlign w:val="center"/>
          </w:tcPr>
          <w:p w14:paraId="35F797AE" w14:textId="77777777" w:rsidR="00627BD0" w:rsidRDefault="00627BD0" w:rsidP="000412C2">
            <w:pPr>
              <w:pStyle w:val="NoSpacing"/>
              <w:rPr>
                <w:sz w:val="20"/>
                <w:szCs w:val="20"/>
                <w:lang w:val="en"/>
              </w:rPr>
            </w:pPr>
            <w:r w:rsidRPr="00627BD0">
              <w:rPr>
                <w:sz w:val="20"/>
                <w:szCs w:val="20"/>
                <w:lang w:val="en"/>
              </w:rPr>
              <w:t>Provides students with disabilities the equal opportunity to participate in all Loyola programs and activities.</w:t>
            </w:r>
          </w:p>
          <w:p w14:paraId="7682B59D" w14:textId="77777777" w:rsidR="00627BD0" w:rsidRPr="00627BD0" w:rsidRDefault="00627BD0" w:rsidP="000412C2">
            <w:pPr>
              <w:pStyle w:val="NoSpacing"/>
              <w:rPr>
                <w:rStyle w:val="apple-converted-space"/>
                <w:rFonts w:cs="Times New Roman"/>
                <w:color w:val="242123"/>
                <w:sz w:val="20"/>
                <w:szCs w:val="20"/>
                <w:shd w:val="clear" w:color="auto" w:fill="FFFFFF"/>
              </w:rPr>
            </w:pPr>
          </w:p>
        </w:tc>
      </w:tr>
      <w:tr w:rsidR="00627BD0" w:rsidRPr="00627BD0" w14:paraId="44DA3E13" w14:textId="77777777" w:rsidTr="00FA403B">
        <w:trPr>
          <w:trHeight w:val="1163"/>
        </w:trPr>
        <w:tc>
          <w:tcPr>
            <w:tcW w:w="3475" w:type="dxa"/>
            <w:vAlign w:val="center"/>
          </w:tcPr>
          <w:p w14:paraId="266739FA" w14:textId="77777777" w:rsidR="00627BD0" w:rsidRPr="00627BD0" w:rsidRDefault="00627BD0" w:rsidP="005C1CFE">
            <w:pPr>
              <w:pStyle w:val="NoSpacing"/>
              <w:jc w:val="center"/>
              <w:rPr>
                <w:b/>
                <w:sz w:val="20"/>
                <w:szCs w:val="20"/>
              </w:rPr>
            </w:pPr>
            <w:r w:rsidRPr="00627BD0">
              <w:rPr>
                <w:b/>
                <w:sz w:val="20"/>
                <w:szCs w:val="20"/>
              </w:rPr>
              <w:t>FAC</w:t>
            </w:r>
          </w:p>
          <w:p w14:paraId="6127E789" w14:textId="77777777" w:rsidR="00627BD0" w:rsidRPr="00627BD0" w:rsidRDefault="00627BD0" w:rsidP="005C1CFE">
            <w:pPr>
              <w:pStyle w:val="NoSpacing"/>
              <w:jc w:val="center"/>
              <w:rPr>
                <w:sz w:val="20"/>
                <w:szCs w:val="20"/>
              </w:rPr>
            </w:pPr>
            <w:r w:rsidRPr="00627BD0">
              <w:rPr>
                <w:sz w:val="20"/>
                <w:szCs w:val="20"/>
              </w:rPr>
              <w:t>Fitness and Aquatic Center</w:t>
            </w:r>
          </w:p>
          <w:p w14:paraId="52EA6A0E" w14:textId="77777777" w:rsidR="00627BD0" w:rsidRPr="00627BD0" w:rsidRDefault="00627BD0" w:rsidP="005C1CFE">
            <w:pPr>
              <w:pStyle w:val="NoSpacing"/>
              <w:jc w:val="center"/>
              <w:rPr>
                <w:b/>
                <w:sz w:val="20"/>
                <w:szCs w:val="20"/>
              </w:rPr>
            </w:pPr>
          </w:p>
        </w:tc>
        <w:tc>
          <w:tcPr>
            <w:tcW w:w="6285" w:type="dxa"/>
            <w:vAlign w:val="center"/>
          </w:tcPr>
          <w:p w14:paraId="0555BA57" w14:textId="6A02B6E0" w:rsidR="00627BD0" w:rsidRPr="00125252" w:rsidRDefault="00627BD0" w:rsidP="000412C2">
            <w:pPr>
              <w:pStyle w:val="NoSpacing"/>
              <w:rPr>
                <w:rFonts w:cs="Arial"/>
                <w:color w:val="242123"/>
                <w:sz w:val="20"/>
                <w:szCs w:val="20"/>
                <w:shd w:val="clear" w:color="auto" w:fill="FFFFFF"/>
              </w:rPr>
            </w:pPr>
            <w:r w:rsidRPr="00627BD0">
              <w:rPr>
                <w:rFonts w:cs="Arial"/>
                <w:color w:val="242123"/>
                <w:sz w:val="20"/>
                <w:szCs w:val="20"/>
                <w:shd w:val="clear" w:color="auto" w:fill="FFFFFF"/>
              </w:rPr>
              <w:t>The Fitness &amp; Aquatic Center (FAC), located on North Charles Street campus, houses a gymnasium, jogging track, outdo</w:t>
            </w:r>
            <w:r w:rsidR="00550850">
              <w:rPr>
                <w:rFonts w:cs="Arial"/>
                <w:color w:val="242123"/>
                <w:sz w:val="20"/>
                <w:szCs w:val="20"/>
                <w:shd w:val="clear" w:color="auto" w:fill="FFFFFF"/>
              </w:rPr>
              <w:t xml:space="preserve">or adventure center, and more. </w:t>
            </w:r>
            <w:r w:rsidRPr="00627BD0">
              <w:rPr>
                <w:rFonts w:cs="Arial"/>
                <w:color w:val="242123"/>
                <w:sz w:val="20"/>
                <w:szCs w:val="20"/>
                <w:shd w:val="clear" w:color="auto" w:fill="FFFFFF"/>
              </w:rPr>
              <w:t>Any part-time or full-time employee is eligible to purchase a membership.</w:t>
            </w:r>
          </w:p>
        </w:tc>
      </w:tr>
      <w:tr w:rsidR="00627BD0" w:rsidRPr="00627BD0" w14:paraId="767526F1" w14:textId="77777777" w:rsidTr="00FA403B">
        <w:trPr>
          <w:trHeight w:val="1730"/>
        </w:trPr>
        <w:tc>
          <w:tcPr>
            <w:tcW w:w="3475" w:type="dxa"/>
            <w:vAlign w:val="center"/>
          </w:tcPr>
          <w:p w14:paraId="30E15915" w14:textId="77777777" w:rsidR="00627BD0" w:rsidRPr="00627BD0" w:rsidRDefault="00627BD0" w:rsidP="005C1CFE">
            <w:pPr>
              <w:pStyle w:val="NoSpacing"/>
              <w:jc w:val="center"/>
              <w:rPr>
                <w:b/>
                <w:sz w:val="20"/>
                <w:szCs w:val="20"/>
              </w:rPr>
            </w:pPr>
            <w:r w:rsidRPr="00627BD0">
              <w:rPr>
                <w:b/>
                <w:sz w:val="20"/>
                <w:szCs w:val="20"/>
              </w:rPr>
              <w:t>Hug Lounge and Refectory</w:t>
            </w:r>
          </w:p>
          <w:p w14:paraId="502343AF" w14:textId="77777777" w:rsidR="00627BD0" w:rsidRPr="00627BD0" w:rsidRDefault="00627BD0" w:rsidP="005C1CFE">
            <w:pPr>
              <w:pStyle w:val="NoSpacing"/>
              <w:jc w:val="center"/>
              <w:rPr>
                <w:b/>
                <w:sz w:val="20"/>
                <w:szCs w:val="20"/>
              </w:rPr>
            </w:pPr>
          </w:p>
          <w:p w14:paraId="73E86E3B" w14:textId="77777777" w:rsidR="00627BD0" w:rsidRPr="00627BD0" w:rsidRDefault="00627BD0" w:rsidP="005C1CFE">
            <w:pPr>
              <w:pStyle w:val="NoSpacing"/>
              <w:jc w:val="center"/>
              <w:rPr>
                <w:b/>
                <w:sz w:val="20"/>
                <w:szCs w:val="20"/>
              </w:rPr>
            </w:pPr>
          </w:p>
        </w:tc>
        <w:tc>
          <w:tcPr>
            <w:tcW w:w="6285" w:type="dxa"/>
            <w:vAlign w:val="center"/>
          </w:tcPr>
          <w:p w14:paraId="026EF9E3" w14:textId="276BBEC2" w:rsidR="00627BD0" w:rsidRPr="00627BD0" w:rsidRDefault="00627BD0" w:rsidP="000412C2">
            <w:pPr>
              <w:pStyle w:val="NoSpacing"/>
              <w:rPr>
                <w:sz w:val="20"/>
                <w:szCs w:val="20"/>
              </w:rPr>
            </w:pPr>
            <w:r w:rsidRPr="00627BD0">
              <w:rPr>
                <w:sz w:val="20"/>
                <w:szCs w:val="20"/>
                <w:lang w:val="en"/>
              </w:rPr>
              <w:t>The Hug Lounge and Refectory are both located on the ground floor of the Humanities Building, just off the Quad. Both rooms have the same old-world, Tudor charm that invites quiet conver</w:t>
            </w:r>
            <w:r w:rsidR="00550850">
              <w:rPr>
                <w:sz w:val="20"/>
                <w:szCs w:val="20"/>
                <w:lang w:val="en"/>
              </w:rPr>
              <w:t xml:space="preserve">sation and classy celebrations. </w:t>
            </w:r>
            <w:r w:rsidR="00550850">
              <w:rPr>
                <w:rStyle w:val="Strong"/>
                <w:b w:val="0"/>
                <w:sz w:val="20"/>
                <w:szCs w:val="20"/>
              </w:rPr>
              <w:t>T</w:t>
            </w:r>
            <w:r w:rsidRPr="00627BD0">
              <w:rPr>
                <w:rStyle w:val="Strong"/>
                <w:b w:val="0"/>
                <w:sz w:val="20"/>
                <w:szCs w:val="20"/>
              </w:rPr>
              <w:t>he Refectory</w:t>
            </w:r>
            <w:r w:rsidRPr="00627BD0">
              <w:rPr>
                <w:rStyle w:val="Strong"/>
                <w:sz w:val="20"/>
                <w:szCs w:val="20"/>
              </w:rPr>
              <w:t xml:space="preserve"> </w:t>
            </w:r>
            <w:r w:rsidRPr="00627BD0">
              <w:rPr>
                <w:sz w:val="20"/>
                <w:szCs w:val="20"/>
              </w:rPr>
              <w:t>offers faculty, staff and administra</w:t>
            </w:r>
            <w:r w:rsidR="00550850">
              <w:rPr>
                <w:sz w:val="20"/>
                <w:szCs w:val="20"/>
              </w:rPr>
              <w:t xml:space="preserve">tors a quiet setting for lunch. </w:t>
            </w:r>
            <w:r w:rsidRPr="00627BD0">
              <w:rPr>
                <w:sz w:val="20"/>
                <w:szCs w:val="20"/>
              </w:rPr>
              <w:t>Students and visitors are permitted to eat in The Refectory if they are a guest of an employee.</w:t>
            </w:r>
          </w:p>
        </w:tc>
      </w:tr>
      <w:tr w:rsidR="00627BD0" w:rsidRPr="00627BD0" w14:paraId="1C363F6E" w14:textId="77777777" w:rsidTr="000412C2">
        <w:trPr>
          <w:trHeight w:val="523"/>
        </w:trPr>
        <w:tc>
          <w:tcPr>
            <w:tcW w:w="3475" w:type="dxa"/>
            <w:vAlign w:val="center"/>
          </w:tcPr>
          <w:p w14:paraId="20D0C2C6" w14:textId="77777777" w:rsidR="00627BD0" w:rsidRPr="00627BD0" w:rsidRDefault="00627BD0" w:rsidP="005C1CFE">
            <w:pPr>
              <w:pStyle w:val="NoSpacing"/>
              <w:jc w:val="center"/>
              <w:rPr>
                <w:b/>
                <w:sz w:val="20"/>
                <w:szCs w:val="20"/>
              </w:rPr>
            </w:pPr>
            <w:r w:rsidRPr="00627BD0">
              <w:rPr>
                <w:b/>
                <w:sz w:val="20"/>
                <w:szCs w:val="20"/>
              </w:rPr>
              <w:t>IR</w:t>
            </w:r>
          </w:p>
          <w:p w14:paraId="03CCEC84" w14:textId="77777777" w:rsidR="00627BD0" w:rsidRPr="00627BD0" w:rsidRDefault="00627BD0" w:rsidP="005C1CFE">
            <w:pPr>
              <w:pStyle w:val="NoSpacing"/>
              <w:jc w:val="center"/>
              <w:rPr>
                <w:sz w:val="20"/>
                <w:szCs w:val="20"/>
              </w:rPr>
            </w:pPr>
            <w:r w:rsidRPr="00627BD0">
              <w:rPr>
                <w:sz w:val="20"/>
                <w:szCs w:val="20"/>
              </w:rPr>
              <w:t>Institutional Research</w:t>
            </w:r>
          </w:p>
          <w:p w14:paraId="679A3B79" w14:textId="77777777" w:rsidR="00627BD0" w:rsidRPr="00627BD0" w:rsidRDefault="00627BD0" w:rsidP="005C1CFE">
            <w:pPr>
              <w:pStyle w:val="NoSpacing"/>
              <w:jc w:val="center"/>
              <w:rPr>
                <w:b/>
                <w:sz w:val="20"/>
                <w:szCs w:val="20"/>
              </w:rPr>
            </w:pPr>
          </w:p>
        </w:tc>
        <w:tc>
          <w:tcPr>
            <w:tcW w:w="6285" w:type="dxa"/>
            <w:vAlign w:val="center"/>
          </w:tcPr>
          <w:p w14:paraId="0E83DD35" w14:textId="77777777" w:rsidR="00627BD0" w:rsidRDefault="00627BD0" w:rsidP="000412C2">
            <w:pPr>
              <w:pStyle w:val="NoSpacing"/>
              <w:rPr>
                <w:rFonts w:cs="Arial"/>
                <w:color w:val="242123"/>
                <w:sz w:val="20"/>
                <w:szCs w:val="20"/>
                <w:shd w:val="clear" w:color="auto" w:fill="FFFFFF"/>
              </w:rPr>
            </w:pPr>
            <w:r w:rsidRPr="00627BD0">
              <w:rPr>
                <w:rFonts w:cs="Arial"/>
                <w:color w:val="242123"/>
                <w:sz w:val="20"/>
                <w:szCs w:val="20"/>
                <w:shd w:val="clear" w:color="auto" w:fill="FFFFFF"/>
              </w:rPr>
              <w:t>Provides leadership and support for the planning and evaluation efforts of the Loyola University Maryland community. Manages the University’s reporting and accountability processes and responds to internal and external requests for information.</w:t>
            </w:r>
          </w:p>
          <w:p w14:paraId="61412BB2" w14:textId="5BA56BEC" w:rsidR="004D6B45" w:rsidRPr="00627BD0" w:rsidRDefault="004D6B45" w:rsidP="000412C2">
            <w:pPr>
              <w:pStyle w:val="NoSpacing"/>
              <w:rPr>
                <w:rFonts w:cs="Arial"/>
                <w:color w:val="242123"/>
                <w:sz w:val="20"/>
                <w:szCs w:val="20"/>
                <w:shd w:val="clear" w:color="auto" w:fill="FFFFFF"/>
              </w:rPr>
            </w:pPr>
          </w:p>
        </w:tc>
      </w:tr>
      <w:tr w:rsidR="00627BD0" w:rsidRPr="00627BD0" w14:paraId="5BDDB588" w14:textId="77777777" w:rsidTr="000412C2">
        <w:trPr>
          <w:trHeight w:val="372"/>
        </w:trPr>
        <w:tc>
          <w:tcPr>
            <w:tcW w:w="3475" w:type="dxa"/>
            <w:vAlign w:val="center"/>
          </w:tcPr>
          <w:p w14:paraId="01725A55" w14:textId="77777777" w:rsidR="00627BD0" w:rsidRPr="00627BD0" w:rsidRDefault="00627BD0" w:rsidP="005C1CFE">
            <w:pPr>
              <w:pStyle w:val="NoSpacing"/>
              <w:jc w:val="center"/>
              <w:rPr>
                <w:b/>
                <w:sz w:val="20"/>
                <w:szCs w:val="20"/>
              </w:rPr>
            </w:pPr>
            <w:r w:rsidRPr="00627BD0">
              <w:rPr>
                <w:b/>
                <w:sz w:val="20"/>
                <w:szCs w:val="20"/>
              </w:rPr>
              <w:t>ISP</w:t>
            </w:r>
          </w:p>
          <w:p w14:paraId="1B002548" w14:textId="77777777" w:rsidR="00627BD0" w:rsidRPr="00627BD0" w:rsidRDefault="00627BD0" w:rsidP="005C1CFE">
            <w:pPr>
              <w:pStyle w:val="NoSpacing"/>
              <w:jc w:val="center"/>
              <w:rPr>
                <w:b/>
                <w:sz w:val="20"/>
                <w:szCs w:val="20"/>
              </w:rPr>
            </w:pPr>
            <w:r w:rsidRPr="00627BD0">
              <w:rPr>
                <w:sz w:val="20"/>
                <w:szCs w:val="20"/>
              </w:rPr>
              <w:t>Ignatius Scholars Program</w:t>
            </w:r>
          </w:p>
        </w:tc>
        <w:tc>
          <w:tcPr>
            <w:tcW w:w="6285" w:type="dxa"/>
            <w:vAlign w:val="center"/>
          </w:tcPr>
          <w:p w14:paraId="0F5F737A" w14:textId="0A0850AE" w:rsidR="00FA403B" w:rsidRPr="00125252" w:rsidRDefault="00627BD0" w:rsidP="000412C2">
            <w:pPr>
              <w:pStyle w:val="NoSpacing"/>
              <w:rPr>
                <w:rFonts w:cs="Arial"/>
                <w:color w:val="242123"/>
                <w:sz w:val="20"/>
                <w:szCs w:val="20"/>
                <w:shd w:val="clear" w:color="auto" w:fill="FFFFFF"/>
              </w:rPr>
            </w:pPr>
            <w:r w:rsidRPr="00627BD0">
              <w:rPr>
                <w:rFonts w:cs="Arial"/>
                <w:color w:val="242123"/>
                <w:sz w:val="20"/>
                <w:szCs w:val="20"/>
                <w:shd w:val="clear" w:color="auto" w:fill="FFFFFF"/>
              </w:rPr>
              <w:t>Provides opportunities to students who identify as first-generation college students, demonstrate significant financial need, or come from diverse backgrounds. The Ignatius Scholars Program is designed for first-year students who exhibit strong academic promise, leadership abilities, and high professional aspirations.</w:t>
            </w:r>
          </w:p>
        </w:tc>
      </w:tr>
      <w:tr w:rsidR="00627BD0" w:rsidRPr="00627BD0" w14:paraId="658F8494" w14:textId="77777777" w:rsidTr="00FA403B">
        <w:trPr>
          <w:trHeight w:val="1325"/>
        </w:trPr>
        <w:tc>
          <w:tcPr>
            <w:tcW w:w="3475" w:type="dxa"/>
            <w:vAlign w:val="center"/>
          </w:tcPr>
          <w:p w14:paraId="4347E466" w14:textId="77777777" w:rsidR="00627BD0" w:rsidRPr="00627BD0" w:rsidRDefault="00627BD0" w:rsidP="005C1CFE">
            <w:pPr>
              <w:pStyle w:val="NoSpacing"/>
              <w:jc w:val="center"/>
              <w:rPr>
                <w:b/>
                <w:sz w:val="20"/>
                <w:szCs w:val="20"/>
              </w:rPr>
            </w:pPr>
            <w:r w:rsidRPr="00627BD0">
              <w:rPr>
                <w:b/>
                <w:sz w:val="20"/>
                <w:szCs w:val="20"/>
              </w:rPr>
              <w:lastRenderedPageBreak/>
              <w:t>LC or “Conference”</w:t>
            </w:r>
          </w:p>
          <w:p w14:paraId="3811F5B2" w14:textId="77777777" w:rsidR="00627BD0" w:rsidRPr="00627BD0" w:rsidRDefault="00627BD0" w:rsidP="005C1CFE">
            <w:pPr>
              <w:pStyle w:val="NoSpacing"/>
              <w:jc w:val="center"/>
              <w:rPr>
                <w:sz w:val="20"/>
                <w:szCs w:val="20"/>
              </w:rPr>
            </w:pPr>
            <w:r w:rsidRPr="00627BD0">
              <w:rPr>
                <w:sz w:val="20"/>
                <w:szCs w:val="20"/>
              </w:rPr>
              <w:t>Loyola Conference</w:t>
            </w:r>
          </w:p>
          <w:p w14:paraId="240B82EF" w14:textId="77777777" w:rsidR="00627BD0" w:rsidRPr="00627BD0" w:rsidRDefault="00627BD0" w:rsidP="005C1CFE">
            <w:pPr>
              <w:pStyle w:val="NoSpacing"/>
              <w:jc w:val="center"/>
              <w:rPr>
                <w:b/>
                <w:sz w:val="20"/>
                <w:szCs w:val="20"/>
              </w:rPr>
            </w:pPr>
          </w:p>
        </w:tc>
        <w:tc>
          <w:tcPr>
            <w:tcW w:w="6285" w:type="dxa"/>
            <w:vAlign w:val="center"/>
          </w:tcPr>
          <w:p w14:paraId="7E678CBF" w14:textId="1F1611DF" w:rsidR="00627BD0" w:rsidRPr="00627BD0" w:rsidRDefault="00627BD0" w:rsidP="000412C2">
            <w:pPr>
              <w:pStyle w:val="NoSpacing"/>
              <w:rPr>
                <w:color w:val="242123"/>
                <w:sz w:val="20"/>
                <w:szCs w:val="20"/>
                <w:shd w:val="clear" w:color="auto" w:fill="FFFFFF"/>
              </w:rPr>
            </w:pPr>
            <w:r w:rsidRPr="00627BD0">
              <w:rPr>
                <w:color w:val="242123"/>
                <w:sz w:val="20"/>
                <w:szCs w:val="20"/>
                <w:shd w:val="clear" w:color="auto" w:fill="FFFFFF"/>
              </w:rPr>
              <w:t>Charged with University-wide issues, such as strategic planning, resource allocation, and administrative policy. Monitors the progress of the University toward its mission and goals and sets and approves University-wide budgets, policies, and programs with the objective of improving the effectiveness of the University.</w:t>
            </w:r>
          </w:p>
        </w:tc>
      </w:tr>
      <w:tr w:rsidR="00FE4AEB" w:rsidRPr="00627BD0" w14:paraId="766D016E" w14:textId="77777777" w:rsidTr="000412C2">
        <w:trPr>
          <w:trHeight w:val="61"/>
        </w:trPr>
        <w:tc>
          <w:tcPr>
            <w:tcW w:w="3475" w:type="dxa"/>
            <w:vAlign w:val="center"/>
          </w:tcPr>
          <w:p w14:paraId="5C728C5A" w14:textId="77777777" w:rsidR="00FE4AEB" w:rsidRDefault="00AD65BE" w:rsidP="005C1CFE">
            <w:pPr>
              <w:pStyle w:val="NoSpacing"/>
              <w:jc w:val="center"/>
              <w:rPr>
                <w:b/>
                <w:sz w:val="20"/>
                <w:szCs w:val="20"/>
              </w:rPr>
            </w:pPr>
            <w:r>
              <w:rPr>
                <w:b/>
                <w:sz w:val="20"/>
                <w:szCs w:val="20"/>
              </w:rPr>
              <w:t>LCAS</w:t>
            </w:r>
          </w:p>
          <w:p w14:paraId="0A6CD8DC" w14:textId="0AB17356" w:rsidR="00AD65BE" w:rsidRPr="00AD65BE" w:rsidRDefault="00AD65BE" w:rsidP="005C1CFE">
            <w:pPr>
              <w:pStyle w:val="NoSpacing"/>
              <w:jc w:val="center"/>
              <w:rPr>
                <w:bCs/>
                <w:sz w:val="20"/>
                <w:szCs w:val="20"/>
              </w:rPr>
            </w:pPr>
            <w:r>
              <w:rPr>
                <w:bCs/>
                <w:sz w:val="20"/>
                <w:szCs w:val="20"/>
              </w:rPr>
              <w:t>Loyola College of Arts and Sciences</w:t>
            </w:r>
          </w:p>
        </w:tc>
        <w:tc>
          <w:tcPr>
            <w:tcW w:w="6285" w:type="dxa"/>
            <w:vAlign w:val="center"/>
          </w:tcPr>
          <w:p w14:paraId="0CC82CD8" w14:textId="3CCCAD41" w:rsidR="00FE4AEB" w:rsidRPr="00627BD0" w:rsidRDefault="00AD65BE" w:rsidP="000412C2">
            <w:pPr>
              <w:pStyle w:val="NoSpacing"/>
              <w:rPr>
                <w:color w:val="242123"/>
                <w:sz w:val="20"/>
                <w:szCs w:val="20"/>
                <w:shd w:val="clear" w:color="auto" w:fill="FFFFFF"/>
              </w:rPr>
            </w:pPr>
            <w:r>
              <w:rPr>
                <w:color w:val="242123"/>
                <w:sz w:val="20"/>
                <w:szCs w:val="20"/>
                <w:shd w:val="clear" w:color="auto" w:fill="FFFFFF"/>
              </w:rPr>
              <w:t>Loyola’s sc</w:t>
            </w:r>
            <w:r w:rsidR="004015E1">
              <w:rPr>
                <w:color w:val="242123"/>
                <w:sz w:val="20"/>
                <w:szCs w:val="20"/>
                <w:shd w:val="clear" w:color="auto" w:fill="FFFFFF"/>
              </w:rPr>
              <w:t>hool of arts</w:t>
            </w:r>
            <w:r w:rsidR="007938B5">
              <w:rPr>
                <w:color w:val="242123"/>
                <w:sz w:val="20"/>
                <w:szCs w:val="20"/>
                <w:shd w:val="clear" w:color="auto" w:fill="FFFFFF"/>
              </w:rPr>
              <w:t xml:space="preserve"> and sciences.</w:t>
            </w:r>
          </w:p>
        </w:tc>
      </w:tr>
      <w:tr w:rsidR="00627BD0" w:rsidRPr="00627BD0" w14:paraId="54A94B0D" w14:textId="77777777" w:rsidTr="00FA403B">
        <w:trPr>
          <w:trHeight w:val="1298"/>
        </w:trPr>
        <w:tc>
          <w:tcPr>
            <w:tcW w:w="3475" w:type="dxa"/>
            <w:vAlign w:val="center"/>
          </w:tcPr>
          <w:p w14:paraId="5B68942E" w14:textId="77777777" w:rsidR="00627BD0" w:rsidRPr="00627BD0" w:rsidRDefault="00627BD0" w:rsidP="005C1CFE">
            <w:pPr>
              <w:pStyle w:val="NoSpacing"/>
              <w:jc w:val="center"/>
              <w:rPr>
                <w:b/>
                <w:sz w:val="20"/>
                <w:szCs w:val="20"/>
              </w:rPr>
            </w:pPr>
            <w:r w:rsidRPr="00627BD0">
              <w:rPr>
                <w:b/>
                <w:sz w:val="20"/>
                <w:szCs w:val="20"/>
              </w:rPr>
              <w:t>Messina</w:t>
            </w:r>
          </w:p>
          <w:p w14:paraId="56099FC5" w14:textId="77777777" w:rsidR="00627BD0" w:rsidRPr="00627BD0" w:rsidRDefault="00627BD0" w:rsidP="005C1CFE">
            <w:pPr>
              <w:pStyle w:val="NoSpacing"/>
              <w:jc w:val="center"/>
              <w:rPr>
                <w:b/>
                <w:sz w:val="20"/>
                <w:szCs w:val="20"/>
              </w:rPr>
            </w:pPr>
          </w:p>
          <w:p w14:paraId="4A433A75" w14:textId="77777777" w:rsidR="00627BD0" w:rsidRPr="00627BD0" w:rsidRDefault="00627BD0" w:rsidP="005C1CFE">
            <w:pPr>
              <w:pStyle w:val="NoSpacing"/>
              <w:jc w:val="center"/>
              <w:rPr>
                <w:b/>
                <w:sz w:val="20"/>
                <w:szCs w:val="20"/>
              </w:rPr>
            </w:pPr>
          </w:p>
        </w:tc>
        <w:tc>
          <w:tcPr>
            <w:tcW w:w="6285" w:type="dxa"/>
            <w:vAlign w:val="center"/>
          </w:tcPr>
          <w:p w14:paraId="1AC6B8B9" w14:textId="3D997F7B" w:rsidR="00627BD0" w:rsidRPr="00627BD0" w:rsidRDefault="00627BD0" w:rsidP="000412C2">
            <w:pPr>
              <w:pStyle w:val="NoSpacing"/>
              <w:rPr>
                <w:sz w:val="20"/>
                <w:szCs w:val="20"/>
              </w:rPr>
            </w:pPr>
            <w:r w:rsidRPr="00627BD0">
              <w:rPr>
                <w:sz w:val="20"/>
                <w:szCs w:val="20"/>
              </w:rPr>
              <w:t xml:space="preserve">The program for first-year students comprised of seminars, enrichment hours and the establishment of communities around learning. </w:t>
            </w:r>
            <w:r w:rsidRPr="00627BD0">
              <w:rPr>
                <w:color w:val="242123"/>
                <w:sz w:val="20"/>
                <w:szCs w:val="20"/>
                <w:shd w:val="clear" w:color="auto" w:fill="FFFFFF"/>
              </w:rPr>
              <w:t xml:space="preserve">The mission of Messina is the help students begin appreciating their </w:t>
            </w:r>
            <w:r w:rsidR="008D56DF" w:rsidRPr="00627BD0">
              <w:rPr>
                <w:color w:val="242123"/>
                <w:sz w:val="20"/>
                <w:szCs w:val="20"/>
                <w:shd w:val="clear" w:color="auto" w:fill="FFFFFF"/>
              </w:rPr>
              <w:t>interconnectedness and</w:t>
            </w:r>
            <w:r w:rsidRPr="00627BD0">
              <w:rPr>
                <w:color w:val="242123"/>
                <w:sz w:val="20"/>
                <w:szCs w:val="20"/>
                <w:shd w:val="clear" w:color="auto" w:fill="FFFFFF"/>
              </w:rPr>
              <w:t xml:space="preserve"> taking to heart the continuing importance of learning in their personal and intellectual growth.</w:t>
            </w:r>
          </w:p>
        </w:tc>
      </w:tr>
      <w:tr w:rsidR="00627BD0" w:rsidRPr="00627BD0" w14:paraId="2721EB60" w14:textId="77777777" w:rsidTr="00FA403B">
        <w:trPr>
          <w:trHeight w:val="1145"/>
        </w:trPr>
        <w:tc>
          <w:tcPr>
            <w:tcW w:w="3475" w:type="dxa"/>
            <w:vAlign w:val="center"/>
          </w:tcPr>
          <w:p w14:paraId="0D62D5FC" w14:textId="77777777" w:rsidR="00627BD0" w:rsidRPr="00627BD0" w:rsidRDefault="00627BD0" w:rsidP="005C1CFE">
            <w:pPr>
              <w:pStyle w:val="NoSpacing"/>
              <w:jc w:val="center"/>
              <w:rPr>
                <w:b/>
                <w:sz w:val="20"/>
                <w:szCs w:val="20"/>
              </w:rPr>
            </w:pPr>
            <w:r w:rsidRPr="00627BD0">
              <w:rPr>
                <w:b/>
                <w:sz w:val="20"/>
                <w:szCs w:val="20"/>
              </w:rPr>
              <w:t>ORSP</w:t>
            </w:r>
          </w:p>
          <w:p w14:paraId="23B7EC41" w14:textId="77777777" w:rsidR="00627BD0" w:rsidRPr="00627BD0" w:rsidRDefault="00627BD0" w:rsidP="005C1CFE">
            <w:pPr>
              <w:pStyle w:val="NoSpacing"/>
              <w:jc w:val="center"/>
              <w:rPr>
                <w:sz w:val="20"/>
                <w:szCs w:val="20"/>
              </w:rPr>
            </w:pPr>
            <w:r w:rsidRPr="00627BD0">
              <w:rPr>
                <w:sz w:val="20"/>
                <w:szCs w:val="20"/>
              </w:rPr>
              <w:t>Office of Research and Sponsored Programs</w:t>
            </w:r>
          </w:p>
          <w:p w14:paraId="61EF4CEF" w14:textId="77777777" w:rsidR="00627BD0" w:rsidRPr="00627BD0" w:rsidRDefault="00627BD0" w:rsidP="005C1CFE">
            <w:pPr>
              <w:pStyle w:val="NoSpacing"/>
              <w:jc w:val="center"/>
              <w:rPr>
                <w:b/>
                <w:sz w:val="20"/>
                <w:szCs w:val="20"/>
              </w:rPr>
            </w:pPr>
          </w:p>
        </w:tc>
        <w:tc>
          <w:tcPr>
            <w:tcW w:w="6285" w:type="dxa"/>
            <w:vAlign w:val="center"/>
          </w:tcPr>
          <w:p w14:paraId="52B93B39" w14:textId="77A1DA4E" w:rsidR="00627BD0" w:rsidRPr="00627BD0" w:rsidRDefault="00627BD0" w:rsidP="000412C2">
            <w:pPr>
              <w:pStyle w:val="NoSpacing"/>
              <w:rPr>
                <w:color w:val="242123"/>
                <w:sz w:val="20"/>
                <w:szCs w:val="20"/>
                <w:shd w:val="clear" w:color="auto" w:fill="FFFFFF"/>
              </w:rPr>
            </w:pPr>
            <w:r w:rsidRPr="00627BD0">
              <w:rPr>
                <w:rFonts w:cs="Arial"/>
                <w:color w:val="242123"/>
                <w:sz w:val="20"/>
                <w:szCs w:val="20"/>
                <w:shd w:val="clear" w:color="auto" w:fill="FFFFFF"/>
              </w:rPr>
              <w:t>Promotes and supports the academic excellence of Loyola University Maryland by guiding members of the faculty, as well as academic and administrative departments, in the procurement and management of sponsored project funding.</w:t>
            </w:r>
          </w:p>
        </w:tc>
      </w:tr>
      <w:tr w:rsidR="007938B5" w:rsidRPr="00627BD0" w14:paraId="33CFAC00" w14:textId="77777777" w:rsidTr="000412C2">
        <w:trPr>
          <w:trHeight w:val="965"/>
        </w:trPr>
        <w:tc>
          <w:tcPr>
            <w:tcW w:w="3475" w:type="dxa"/>
            <w:vAlign w:val="center"/>
          </w:tcPr>
          <w:p w14:paraId="07E29FCD" w14:textId="77777777" w:rsidR="007938B5" w:rsidRDefault="00400155" w:rsidP="005C1CFE">
            <w:pPr>
              <w:pStyle w:val="NoSpacing"/>
              <w:jc w:val="center"/>
              <w:rPr>
                <w:b/>
                <w:sz w:val="20"/>
                <w:szCs w:val="20"/>
              </w:rPr>
            </w:pPr>
            <w:r>
              <w:rPr>
                <w:b/>
                <w:sz w:val="20"/>
                <w:szCs w:val="20"/>
              </w:rPr>
              <w:t>ODTL</w:t>
            </w:r>
          </w:p>
          <w:p w14:paraId="30B224BE" w14:textId="433C2453" w:rsidR="00400155" w:rsidRPr="00400155" w:rsidRDefault="00400155" w:rsidP="005C1CFE">
            <w:pPr>
              <w:pStyle w:val="NoSpacing"/>
              <w:jc w:val="center"/>
              <w:rPr>
                <w:bCs/>
                <w:sz w:val="20"/>
                <w:szCs w:val="20"/>
              </w:rPr>
            </w:pPr>
            <w:r>
              <w:rPr>
                <w:bCs/>
                <w:sz w:val="20"/>
                <w:szCs w:val="20"/>
              </w:rPr>
              <w:t>Office of Digital Teaching and Learning</w:t>
            </w:r>
          </w:p>
        </w:tc>
        <w:tc>
          <w:tcPr>
            <w:tcW w:w="6285" w:type="dxa"/>
            <w:vAlign w:val="center"/>
          </w:tcPr>
          <w:p w14:paraId="3D384C30" w14:textId="36888319" w:rsidR="007938B5" w:rsidRDefault="009B34EB" w:rsidP="000412C2">
            <w:pPr>
              <w:pStyle w:val="NoSpacing"/>
              <w:rPr>
                <w:sz w:val="20"/>
                <w:szCs w:val="20"/>
                <w:lang w:val="en"/>
              </w:rPr>
            </w:pPr>
            <w:r>
              <w:rPr>
                <w:sz w:val="20"/>
                <w:szCs w:val="20"/>
                <w:lang w:val="en"/>
              </w:rPr>
              <w:t>Partners with faculty to help develop their courses and learn how to best use the tools provided by Loyola.</w:t>
            </w:r>
          </w:p>
        </w:tc>
      </w:tr>
      <w:tr w:rsidR="00627BD0" w:rsidRPr="00627BD0" w14:paraId="6F77896F" w14:textId="77777777" w:rsidTr="000412C2">
        <w:trPr>
          <w:trHeight w:val="965"/>
        </w:trPr>
        <w:tc>
          <w:tcPr>
            <w:tcW w:w="3475" w:type="dxa"/>
            <w:vAlign w:val="center"/>
          </w:tcPr>
          <w:p w14:paraId="157D8B08" w14:textId="77777777" w:rsidR="00627BD0" w:rsidRPr="00627BD0" w:rsidRDefault="00627BD0" w:rsidP="005C1CFE">
            <w:pPr>
              <w:pStyle w:val="NoSpacing"/>
              <w:jc w:val="center"/>
              <w:rPr>
                <w:b/>
                <w:sz w:val="20"/>
                <w:szCs w:val="20"/>
              </w:rPr>
            </w:pPr>
            <w:r w:rsidRPr="00627BD0">
              <w:rPr>
                <w:b/>
                <w:sz w:val="20"/>
                <w:szCs w:val="20"/>
              </w:rPr>
              <w:t>OTS</w:t>
            </w:r>
          </w:p>
          <w:p w14:paraId="425ADF56" w14:textId="66D6757F" w:rsidR="00627BD0" w:rsidRPr="00125252" w:rsidRDefault="00627BD0" w:rsidP="005C1CFE">
            <w:pPr>
              <w:pStyle w:val="NoSpacing"/>
              <w:jc w:val="center"/>
              <w:rPr>
                <w:sz w:val="20"/>
                <w:szCs w:val="20"/>
              </w:rPr>
            </w:pPr>
            <w:r w:rsidRPr="00627BD0">
              <w:rPr>
                <w:sz w:val="20"/>
                <w:szCs w:val="20"/>
              </w:rPr>
              <w:t>Office of Technology Services</w:t>
            </w:r>
          </w:p>
        </w:tc>
        <w:tc>
          <w:tcPr>
            <w:tcW w:w="6285" w:type="dxa"/>
            <w:vAlign w:val="center"/>
          </w:tcPr>
          <w:p w14:paraId="55852209" w14:textId="44BC68D3" w:rsidR="00627BD0" w:rsidRPr="00125252" w:rsidRDefault="00627BD0" w:rsidP="000412C2">
            <w:pPr>
              <w:pStyle w:val="NoSpacing"/>
              <w:rPr>
                <w:sz w:val="14"/>
                <w:szCs w:val="14"/>
                <w:lang w:val="en"/>
              </w:rPr>
            </w:pPr>
            <w:r w:rsidRPr="00627BD0">
              <w:rPr>
                <w:sz w:val="20"/>
                <w:szCs w:val="20"/>
                <w:lang w:val="en"/>
              </w:rPr>
              <w:t>Supports and assists with academic and administrative technology challenges.</w:t>
            </w:r>
          </w:p>
        </w:tc>
      </w:tr>
      <w:tr w:rsidR="00627BD0" w:rsidRPr="00627BD0" w14:paraId="2B52E719" w14:textId="77777777" w:rsidTr="000412C2">
        <w:trPr>
          <w:trHeight w:val="61"/>
        </w:trPr>
        <w:tc>
          <w:tcPr>
            <w:tcW w:w="3475" w:type="dxa"/>
            <w:vAlign w:val="center"/>
          </w:tcPr>
          <w:p w14:paraId="5649BF4A" w14:textId="77777777" w:rsidR="00627BD0" w:rsidRPr="00627BD0" w:rsidRDefault="00627BD0" w:rsidP="005C1CFE">
            <w:pPr>
              <w:pStyle w:val="NoSpacing"/>
              <w:jc w:val="center"/>
              <w:rPr>
                <w:rStyle w:val="Hyperlink"/>
                <w:b/>
                <w:color w:val="auto"/>
                <w:sz w:val="20"/>
                <w:szCs w:val="20"/>
                <w:u w:val="none"/>
              </w:rPr>
            </w:pPr>
            <w:proofErr w:type="spellStart"/>
            <w:r w:rsidRPr="00627BD0">
              <w:rPr>
                <w:rStyle w:val="Hyperlink"/>
                <w:b/>
                <w:color w:val="auto"/>
                <w:sz w:val="20"/>
                <w:szCs w:val="20"/>
                <w:u w:val="none"/>
              </w:rPr>
              <w:t>OUTLoyola</w:t>
            </w:r>
            <w:proofErr w:type="spellEnd"/>
          </w:p>
          <w:p w14:paraId="663C6315" w14:textId="7E8F26D4" w:rsidR="00627BD0" w:rsidRPr="00627BD0" w:rsidRDefault="00627BD0" w:rsidP="005C1CFE">
            <w:pPr>
              <w:pStyle w:val="NoSpacing"/>
              <w:jc w:val="center"/>
              <w:rPr>
                <w:rStyle w:val="Hyperlink"/>
                <w:color w:val="auto"/>
                <w:sz w:val="20"/>
                <w:szCs w:val="20"/>
                <w:u w:val="none"/>
              </w:rPr>
            </w:pPr>
            <w:r w:rsidRPr="00627BD0">
              <w:rPr>
                <w:rStyle w:val="Hyperlink"/>
                <w:color w:val="auto"/>
                <w:sz w:val="20"/>
                <w:szCs w:val="20"/>
                <w:u w:val="none"/>
              </w:rPr>
              <w:t xml:space="preserve">LGBT employees and </w:t>
            </w:r>
            <w:proofErr w:type="gramStart"/>
            <w:r w:rsidRPr="00627BD0">
              <w:rPr>
                <w:rStyle w:val="Hyperlink"/>
                <w:color w:val="auto"/>
                <w:sz w:val="20"/>
                <w:szCs w:val="20"/>
                <w:u w:val="none"/>
              </w:rPr>
              <w:t>allies</w:t>
            </w:r>
            <w:proofErr w:type="gramEnd"/>
            <w:r w:rsidRPr="00627BD0">
              <w:rPr>
                <w:rStyle w:val="Hyperlink"/>
                <w:color w:val="auto"/>
                <w:sz w:val="20"/>
                <w:szCs w:val="20"/>
                <w:u w:val="none"/>
              </w:rPr>
              <w:t xml:space="preserve"> affinity group</w:t>
            </w:r>
          </w:p>
          <w:p w14:paraId="35B1F75E" w14:textId="77777777" w:rsidR="00627BD0" w:rsidRPr="00627BD0" w:rsidRDefault="00627BD0" w:rsidP="005C1CFE">
            <w:pPr>
              <w:pStyle w:val="NoSpacing"/>
              <w:jc w:val="center"/>
              <w:rPr>
                <w:b/>
                <w:sz w:val="20"/>
                <w:szCs w:val="20"/>
              </w:rPr>
            </w:pPr>
          </w:p>
        </w:tc>
        <w:tc>
          <w:tcPr>
            <w:tcW w:w="6285" w:type="dxa"/>
            <w:vAlign w:val="center"/>
          </w:tcPr>
          <w:p w14:paraId="485A9FC8" w14:textId="77777777" w:rsidR="00627BD0" w:rsidRPr="00627BD0" w:rsidRDefault="00627BD0" w:rsidP="000412C2">
            <w:pPr>
              <w:pStyle w:val="NoSpacing"/>
              <w:rPr>
                <w:sz w:val="20"/>
                <w:szCs w:val="20"/>
                <w:lang w:val="en"/>
              </w:rPr>
            </w:pPr>
            <w:proofErr w:type="spellStart"/>
            <w:r w:rsidRPr="00627BD0">
              <w:rPr>
                <w:sz w:val="20"/>
                <w:szCs w:val="20"/>
                <w:lang w:val="en"/>
              </w:rPr>
              <w:t>OUTLoyola</w:t>
            </w:r>
            <w:proofErr w:type="spellEnd"/>
            <w:r w:rsidRPr="00627BD0">
              <w:rPr>
                <w:sz w:val="20"/>
                <w:szCs w:val="20"/>
                <w:lang w:val="en"/>
              </w:rPr>
              <w:t xml:space="preserve"> is a group of </w:t>
            </w:r>
            <w:proofErr w:type="gramStart"/>
            <w:r w:rsidRPr="00627BD0">
              <w:rPr>
                <w:sz w:val="20"/>
                <w:szCs w:val="20"/>
                <w:lang w:val="en"/>
              </w:rPr>
              <w:t>faculty</w:t>
            </w:r>
            <w:proofErr w:type="gramEnd"/>
            <w:r w:rsidRPr="00627BD0">
              <w:rPr>
                <w:sz w:val="20"/>
                <w:szCs w:val="20"/>
                <w:lang w:val="en"/>
              </w:rPr>
              <w:t>, staff, and administrators of all backgrounds who are interested in promoting equality for the LGBT members of the campus community and informed dialogue about LGBT issues at Loyola.</w:t>
            </w:r>
          </w:p>
          <w:p w14:paraId="57B08E60" w14:textId="77777777" w:rsidR="00627BD0" w:rsidRPr="00627BD0" w:rsidRDefault="00627BD0" w:rsidP="000412C2">
            <w:pPr>
              <w:pStyle w:val="NoSpacing"/>
              <w:rPr>
                <w:sz w:val="20"/>
                <w:szCs w:val="20"/>
                <w:lang w:val="en"/>
              </w:rPr>
            </w:pPr>
          </w:p>
        </w:tc>
      </w:tr>
      <w:tr w:rsidR="0080164D" w:rsidRPr="00627BD0" w14:paraId="646FB842" w14:textId="77777777" w:rsidTr="00FA403B">
        <w:trPr>
          <w:trHeight w:val="893"/>
        </w:trPr>
        <w:tc>
          <w:tcPr>
            <w:tcW w:w="3475" w:type="dxa"/>
            <w:vAlign w:val="center"/>
          </w:tcPr>
          <w:p w14:paraId="4D2A4CE6" w14:textId="6B687975" w:rsidR="0080164D" w:rsidRPr="00627BD0" w:rsidRDefault="00AD5210" w:rsidP="005C1CFE">
            <w:pPr>
              <w:pStyle w:val="NoSpacing"/>
              <w:jc w:val="center"/>
              <w:rPr>
                <w:b/>
                <w:sz w:val="20"/>
                <w:szCs w:val="20"/>
              </w:rPr>
            </w:pPr>
            <w:r>
              <w:rPr>
                <w:b/>
                <w:sz w:val="20"/>
                <w:szCs w:val="20"/>
              </w:rPr>
              <w:t>Provost/</w:t>
            </w:r>
            <w:r w:rsidR="0080164D" w:rsidRPr="00627BD0">
              <w:rPr>
                <w:b/>
                <w:sz w:val="20"/>
                <w:szCs w:val="20"/>
              </w:rPr>
              <w:t>VPAA</w:t>
            </w:r>
          </w:p>
          <w:p w14:paraId="5D7EDCD7" w14:textId="48836B8C" w:rsidR="0080164D" w:rsidRPr="00627BD0" w:rsidRDefault="00AD5210" w:rsidP="005C1CFE">
            <w:pPr>
              <w:pStyle w:val="NoSpacing"/>
              <w:jc w:val="center"/>
              <w:rPr>
                <w:b/>
                <w:sz w:val="20"/>
                <w:szCs w:val="20"/>
              </w:rPr>
            </w:pPr>
            <w:r>
              <w:rPr>
                <w:sz w:val="20"/>
                <w:szCs w:val="20"/>
              </w:rPr>
              <w:t xml:space="preserve">Provost and </w:t>
            </w:r>
            <w:r w:rsidR="0080164D" w:rsidRPr="00627BD0">
              <w:rPr>
                <w:sz w:val="20"/>
                <w:szCs w:val="20"/>
              </w:rPr>
              <w:t>Vice President for Academic Affairs</w:t>
            </w:r>
          </w:p>
        </w:tc>
        <w:tc>
          <w:tcPr>
            <w:tcW w:w="6285" w:type="dxa"/>
            <w:vAlign w:val="center"/>
          </w:tcPr>
          <w:p w14:paraId="66EB1ACA" w14:textId="757FCFFB" w:rsidR="0080164D" w:rsidRPr="00627BD0" w:rsidRDefault="0080164D" w:rsidP="000412C2">
            <w:pPr>
              <w:pStyle w:val="NoSpacing"/>
              <w:rPr>
                <w:rFonts w:eastAsia="Times New Roman"/>
                <w:sz w:val="20"/>
                <w:szCs w:val="20"/>
                <w:lang w:val="en"/>
              </w:rPr>
            </w:pPr>
            <w:r w:rsidRPr="00627BD0">
              <w:rPr>
                <w:rStyle w:val="Strong"/>
                <w:b w:val="0"/>
                <w:sz w:val="20"/>
                <w:szCs w:val="20"/>
              </w:rPr>
              <w:t xml:space="preserve">The </w:t>
            </w:r>
            <w:r w:rsidR="00FC79AC">
              <w:rPr>
                <w:rStyle w:val="Strong"/>
                <w:b w:val="0"/>
                <w:sz w:val="20"/>
                <w:szCs w:val="20"/>
              </w:rPr>
              <w:t>l</w:t>
            </w:r>
            <w:r w:rsidR="00FC79AC">
              <w:rPr>
                <w:rStyle w:val="Strong"/>
                <w:b w:val="0"/>
              </w:rPr>
              <w:t>eader of the Academic Division</w:t>
            </w:r>
            <w:r w:rsidR="00676F6F">
              <w:rPr>
                <w:rStyle w:val="Strong"/>
                <w:b w:val="0"/>
              </w:rPr>
              <w:t xml:space="preserve"> and the Office of Academic Affairs, which </w:t>
            </w:r>
            <w:proofErr w:type="gramStart"/>
            <w:r w:rsidR="00676F6F">
              <w:rPr>
                <w:rStyle w:val="Strong"/>
                <w:b w:val="0"/>
              </w:rPr>
              <w:t>provides assistance</w:t>
            </w:r>
            <w:proofErr w:type="gramEnd"/>
            <w:r w:rsidR="00676F6F">
              <w:rPr>
                <w:rStyle w:val="Strong"/>
                <w:b w:val="0"/>
              </w:rPr>
              <w:t xml:space="preserve">, leadership, guidance, and resources </w:t>
            </w:r>
            <w:r w:rsidR="00057EB5">
              <w:rPr>
                <w:rStyle w:val="Strong"/>
                <w:b w:val="0"/>
              </w:rPr>
              <w:t>to the faculty in support of the mission of Loyola.</w:t>
            </w:r>
          </w:p>
        </w:tc>
      </w:tr>
      <w:tr w:rsidR="00627BD0" w:rsidRPr="00627BD0" w14:paraId="6919184C" w14:textId="77777777" w:rsidTr="000412C2">
        <w:trPr>
          <w:trHeight w:val="61"/>
        </w:trPr>
        <w:tc>
          <w:tcPr>
            <w:tcW w:w="3475" w:type="dxa"/>
            <w:vAlign w:val="center"/>
          </w:tcPr>
          <w:p w14:paraId="73C69BD1" w14:textId="77777777" w:rsidR="00627BD0" w:rsidRPr="00627BD0" w:rsidRDefault="00627BD0" w:rsidP="005C1CFE">
            <w:pPr>
              <w:pStyle w:val="NoSpacing"/>
              <w:jc w:val="center"/>
              <w:rPr>
                <w:b/>
                <w:sz w:val="20"/>
                <w:szCs w:val="20"/>
              </w:rPr>
            </w:pPr>
            <w:r w:rsidRPr="00627BD0">
              <w:rPr>
                <w:b/>
                <w:sz w:val="20"/>
                <w:szCs w:val="20"/>
              </w:rPr>
              <w:t>SAS</w:t>
            </w:r>
          </w:p>
          <w:p w14:paraId="25548854" w14:textId="77777777" w:rsidR="00627BD0" w:rsidRPr="00627BD0" w:rsidRDefault="00627BD0" w:rsidP="005C1CFE">
            <w:pPr>
              <w:pStyle w:val="NoSpacing"/>
              <w:jc w:val="center"/>
              <w:rPr>
                <w:b/>
                <w:sz w:val="20"/>
                <w:szCs w:val="20"/>
              </w:rPr>
            </w:pPr>
            <w:r w:rsidRPr="00627BD0">
              <w:rPr>
                <w:sz w:val="20"/>
                <w:szCs w:val="20"/>
              </w:rPr>
              <w:t>Student Administrative Services</w:t>
            </w:r>
          </w:p>
        </w:tc>
        <w:tc>
          <w:tcPr>
            <w:tcW w:w="6285" w:type="dxa"/>
            <w:vAlign w:val="center"/>
          </w:tcPr>
          <w:p w14:paraId="53D5FE91" w14:textId="7EDFCD29" w:rsidR="00627BD0" w:rsidRPr="00627BD0" w:rsidRDefault="00627BD0" w:rsidP="000412C2">
            <w:pPr>
              <w:pStyle w:val="NoSpacing"/>
              <w:rPr>
                <w:rFonts w:eastAsia="Times New Roman"/>
                <w:sz w:val="20"/>
                <w:szCs w:val="20"/>
                <w:lang w:val="en"/>
              </w:rPr>
            </w:pPr>
            <w:r w:rsidRPr="00627BD0">
              <w:rPr>
                <w:rFonts w:eastAsia="Times New Roman"/>
                <w:sz w:val="20"/>
                <w:szCs w:val="20"/>
                <w:lang w:val="en"/>
              </w:rPr>
              <w:t>The primary financial office center for the Loyola University Maryland c</w:t>
            </w:r>
            <w:r w:rsidR="00384830">
              <w:rPr>
                <w:rFonts w:eastAsia="Times New Roman"/>
                <w:sz w:val="20"/>
                <w:szCs w:val="20"/>
                <w:lang w:val="en"/>
              </w:rPr>
              <w:t xml:space="preserve">ommunity of faculty, staff, </w:t>
            </w:r>
            <w:r w:rsidRPr="00627BD0">
              <w:rPr>
                <w:rFonts w:eastAsia="Times New Roman"/>
                <w:sz w:val="20"/>
                <w:szCs w:val="20"/>
                <w:lang w:val="en"/>
              </w:rPr>
              <w:t>administrators</w:t>
            </w:r>
            <w:r w:rsidR="00384830">
              <w:rPr>
                <w:rFonts w:eastAsia="Times New Roman"/>
                <w:sz w:val="20"/>
                <w:szCs w:val="20"/>
                <w:lang w:val="en"/>
              </w:rPr>
              <w:t xml:space="preserve"> and students</w:t>
            </w:r>
            <w:r w:rsidRPr="00627BD0">
              <w:rPr>
                <w:rFonts w:eastAsia="Times New Roman"/>
                <w:sz w:val="20"/>
                <w:szCs w:val="20"/>
                <w:lang w:val="en"/>
              </w:rPr>
              <w:t xml:space="preserve">. The </w:t>
            </w:r>
            <w:proofErr w:type="gramStart"/>
            <w:r w:rsidRPr="00627BD0">
              <w:rPr>
                <w:rFonts w:eastAsia="Times New Roman"/>
                <w:sz w:val="20"/>
                <w:szCs w:val="20"/>
                <w:lang w:val="en"/>
              </w:rPr>
              <w:t>principle</w:t>
            </w:r>
            <w:proofErr w:type="gramEnd"/>
            <w:r w:rsidRPr="00627BD0">
              <w:rPr>
                <w:rFonts w:eastAsia="Times New Roman"/>
                <w:sz w:val="20"/>
                <w:szCs w:val="20"/>
                <w:lang w:val="en"/>
              </w:rPr>
              <w:t xml:space="preserve"> focus encompasses the monitoring of both undergraduate and graduate student tuition accounts, as well as employee activity accounts.</w:t>
            </w:r>
            <w:r w:rsidR="00384830">
              <w:rPr>
                <w:rFonts w:eastAsia="Times New Roman"/>
                <w:sz w:val="20"/>
                <w:szCs w:val="20"/>
                <w:lang w:val="en"/>
              </w:rPr>
              <w:t xml:space="preserve"> </w:t>
            </w:r>
            <w:r w:rsidRPr="00384830">
              <w:rPr>
                <w:rFonts w:eastAsia="Times New Roman"/>
                <w:sz w:val="20"/>
                <w:szCs w:val="20"/>
                <w:lang w:val="en"/>
              </w:rPr>
              <w:t>This includes:</w:t>
            </w:r>
            <w:r w:rsidR="00384830">
              <w:rPr>
                <w:rFonts w:eastAsia="Times New Roman"/>
                <w:sz w:val="20"/>
                <w:szCs w:val="20"/>
                <w:lang w:val="en"/>
              </w:rPr>
              <w:t xml:space="preserve"> </w:t>
            </w:r>
            <w:r w:rsidRPr="00627BD0">
              <w:rPr>
                <w:rFonts w:eastAsia="Times New Roman"/>
                <w:sz w:val="20"/>
                <w:szCs w:val="20"/>
                <w:lang w:val="en"/>
              </w:rPr>
              <w:t>The issuance of the Loyola Evergreen Card (ID Card)</w:t>
            </w:r>
            <w:r w:rsidR="00384830">
              <w:rPr>
                <w:rFonts w:eastAsia="Times New Roman"/>
                <w:sz w:val="20"/>
                <w:szCs w:val="20"/>
                <w:lang w:val="en"/>
              </w:rPr>
              <w:t xml:space="preserve">, </w:t>
            </w:r>
            <w:r w:rsidRPr="00627BD0">
              <w:rPr>
                <w:rFonts w:eastAsia="Times New Roman"/>
                <w:sz w:val="20"/>
                <w:szCs w:val="20"/>
                <w:lang w:val="en"/>
              </w:rPr>
              <w:t>Administration of Evergreen and Declining Balance Accounts</w:t>
            </w:r>
            <w:r w:rsidR="00384830">
              <w:rPr>
                <w:rFonts w:eastAsia="Times New Roman"/>
                <w:sz w:val="20"/>
                <w:szCs w:val="20"/>
                <w:lang w:val="en"/>
              </w:rPr>
              <w:t xml:space="preserve">, </w:t>
            </w:r>
            <w:r w:rsidRPr="00627BD0">
              <w:rPr>
                <w:rFonts w:eastAsia="Times New Roman"/>
                <w:sz w:val="20"/>
                <w:szCs w:val="20"/>
                <w:lang w:val="en"/>
              </w:rPr>
              <w:t>Parking registrations</w:t>
            </w:r>
            <w:r w:rsidR="00384830">
              <w:rPr>
                <w:rFonts w:eastAsia="Times New Roman"/>
                <w:sz w:val="20"/>
                <w:szCs w:val="20"/>
                <w:lang w:val="en"/>
              </w:rPr>
              <w:t>.</w:t>
            </w:r>
          </w:p>
          <w:p w14:paraId="5393D32C" w14:textId="77777777" w:rsidR="00627BD0" w:rsidRPr="00627BD0" w:rsidRDefault="00627BD0" w:rsidP="000412C2">
            <w:pPr>
              <w:pStyle w:val="NoSpacing"/>
              <w:rPr>
                <w:rFonts w:eastAsia="Times New Roman"/>
                <w:sz w:val="20"/>
                <w:szCs w:val="20"/>
                <w:lang w:val="en"/>
              </w:rPr>
            </w:pPr>
          </w:p>
        </w:tc>
      </w:tr>
      <w:tr w:rsidR="00627BD0" w:rsidRPr="00627BD0" w14:paraId="41700A52" w14:textId="77777777" w:rsidTr="000412C2">
        <w:trPr>
          <w:trHeight w:val="61"/>
        </w:trPr>
        <w:tc>
          <w:tcPr>
            <w:tcW w:w="3475" w:type="dxa"/>
            <w:vAlign w:val="center"/>
          </w:tcPr>
          <w:p w14:paraId="025CEC50" w14:textId="77777777" w:rsidR="00627BD0" w:rsidRPr="00627BD0" w:rsidRDefault="00627BD0" w:rsidP="005C1CFE">
            <w:pPr>
              <w:pStyle w:val="NoSpacing"/>
              <w:jc w:val="center"/>
              <w:rPr>
                <w:b/>
                <w:sz w:val="20"/>
                <w:szCs w:val="20"/>
              </w:rPr>
            </w:pPr>
            <w:r w:rsidRPr="00627BD0">
              <w:rPr>
                <w:b/>
                <w:sz w:val="20"/>
                <w:szCs w:val="20"/>
              </w:rPr>
              <w:t>SSBM</w:t>
            </w:r>
          </w:p>
          <w:p w14:paraId="41E25E4E" w14:textId="53B7E351" w:rsidR="00627BD0" w:rsidRPr="00627BD0" w:rsidRDefault="00A27329" w:rsidP="005C1CFE">
            <w:pPr>
              <w:pStyle w:val="NoSpacing"/>
              <w:jc w:val="center"/>
              <w:rPr>
                <w:b/>
                <w:sz w:val="20"/>
                <w:szCs w:val="20"/>
              </w:rPr>
            </w:pPr>
            <w:r>
              <w:rPr>
                <w:sz w:val="20"/>
                <w:szCs w:val="20"/>
              </w:rPr>
              <w:t xml:space="preserve">The </w:t>
            </w:r>
            <w:r w:rsidR="007B2AC5">
              <w:rPr>
                <w:sz w:val="20"/>
                <w:szCs w:val="20"/>
              </w:rPr>
              <w:t xml:space="preserve">Joseph A. </w:t>
            </w:r>
            <w:r w:rsidR="00627BD0" w:rsidRPr="00627BD0">
              <w:rPr>
                <w:sz w:val="20"/>
                <w:szCs w:val="20"/>
              </w:rPr>
              <w:t>Sellinger</w:t>
            </w:r>
            <w:r w:rsidR="007B2AC5">
              <w:rPr>
                <w:sz w:val="20"/>
                <w:szCs w:val="20"/>
              </w:rPr>
              <w:t>, S.J.,</w:t>
            </w:r>
            <w:r w:rsidR="00627BD0" w:rsidRPr="00627BD0">
              <w:rPr>
                <w:sz w:val="20"/>
                <w:szCs w:val="20"/>
              </w:rPr>
              <w:t xml:space="preserve"> School of Business and Management</w:t>
            </w:r>
          </w:p>
          <w:p w14:paraId="2448AB60" w14:textId="77777777" w:rsidR="00627BD0" w:rsidRPr="00627BD0" w:rsidRDefault="00627BD0" w:rsidP="005C1CFE">
            <w:pPr>
              <w:pStyle w:val="NoSpacing"/>
              <w:jc w:val="center"/>
              <w:rPr>
                <w:b/>
                <w:sz w:val="20"/>
                <w:szCs w:val="20"/>
              </w:rPr>
            </w:pPr>
          </w:p>
        </w:tc>
        <w:tc>
          <w:tcPr>
            <w:tcW w:w="6285" w:type="dxa"/>
            <w:vAlign w:val="center"/>
          </w:tcPr>
          <w:p w14:paraId="565CCEA2" w14:textId="77777777" w:rsidR="00627BD0" w:rsidRPr="00627BD0" w:rsidRDefault="00627BD0" w:rsidP="000412C2">
            <w:pPr>
              <w:pStyle w:val="NoSpacing"/>
              <w:rPr>
                <w:rFonts w:eastAsia="Times New Roman"/>
                <w:sz w:val="20"/>
                <w:szCs w:val="20"/>
                <w:lang w:val="en"/>
              </w:rPr>
            </w:pPr>
            <w:r w:rsidRPr="00627BD0">
              <w:rPr>
                <w:rFonts w:eastAsia="Times New Roman"/>
                <w:sz w:val="20"/>
                <w:szCs w:val="20"/>
                <w:lang w:val="en"/>
              </w:rPr>
              <w:t>Loyola’s business school.</w:t>
            </w:r>
          </w:p>
        </w:tc>
      </w:tr>
      <w:tr w:rsidR="00627BD0" w:rsidRPr="00627BD0" w14:paraId="3D4F3107" w14:textId="77777777" w:rsidTr="000412C2">
        <w:trPr>
          <w:trHeight w:val="61"/>
        </w:trPr>
        <w:tc>
          <w:tcPr>
            <w:tcW w:w="3475" w:type="dxa"/>
            <w:vAlign w:val="center"/>
          </w:tcPr>
          <w:p w14:paraId="3EFD4A33" w14:textId="77777777" w:rsidR="00627BD0" w:rsidRDefault="00627BD0" w:rsidP="005C1CFE">
            <w:pPr>
              <w:pStyle w:val="NoSpacing"/>
              <w:jc w:val="center"/>
              <w:rPr>
                <w:b/>
                <w:sz w:val="20"/>
                <w:szCs w:val="20"/>
              </w:rPr>
            </w:pPr>
            <w:r w:rsidRPr="00627BD0">
              <w:rPr>
                <w:b/>
                <w:sz w:val="20"/>
                <w:szCs w:val="20"/>
              </w:rPr>
              <w:t>Sellinger VIP Lounge</w:t>
            </w:r>
          </w:p>
          <w:p w14:paraId="54D1838F" w14:textId="5DA22961" w:rsidR="00550850" w:rsidRPr="00550850" w:rsidRDefault="00E00C9A" w:rsidP="005C1CFE">
            <w:pPr>
              <w:pStyle w:val="NoSpacing"/>
              <w:jc w:val="center"/>
              <w:rPr>
                <w:sz w:val="20"/>
                <w:szCs w:val="20"/>
              </w:rPr>
            </w:pPr>
            <w:r>
              <w:rPr>
                <w:sz w:val="20"/>
                <w:szCs w:val="20"/>
              </w:rPr>
              <w:t>(CT*M</w:t>
            </w:r>
            <w:r w:rsidR="00550850" w:rsidRPr="00550850">
              <w:rPr>
                <w:sz w:val="20"/>
                <w:szCs w:val="20"/>
              </w:rPr>
              <w:t>430)</w:t>
            </w:r>
          </w:p>
          <w:p w14:paraId="16146A30" w14:textId="77777777" w:rsidR="00627BD0" w:rsidRPr="00627BD0" w:rsidRDefault="00627BD0" w:rsidP="005C1CFE">
            <w:pPr>
              <w:pStyle w:val="NoSpacing"/>
              <w:jc w:val="center"/>
              <w:rPr>
                <w:b/>
                <w:sz w:val="20"/>
                <w:szCs w:val="20"/>
              </w:rPr>
            </w:pPr>
          </w:p>
        </w:tc>
        <w:tc>
          <w:tcPr>
            <w:tcW w:w="6285" w:type="dxa"/>
            <w:vAlign w:val="center"/>
          </w:tcPr>
          <w:p w14:paraId="649644A7" w14:textId="5FF60003" w:rsidR="00627BD0" w:rsidRPr="00627BD0" w:rsidRDefault="00627BD0" w:rsidP="000412C2">
            <w:pPr>
              <w:pStyle w:val="NoSpacing"/>
              <w:rPr>
                <w:rFonts w:cs="Tahoma"/>
                <w:sz w:val="20"/>
                <w:szCs w:val="20"/>
              </w:rPr>
            </w:pPr>
            <w:r w:rsidRPr="00627BD0">
              <w:rPr>
                <w:rFonts w:cs="Tahoma"/>
                <w:sz w:val="20"/>
                <w:szCs w:val="20"/>
              </w:rPr>
              <w:t>Meeting space located on the 4th Floor of the Andrew White Student Center</w:t>
            </w:r>
            <w:r w:rsidR="00AF6C4B">
              <w:rPr>
                <w:rFonts w:cs="Tahoma"/>
                <w:sz w:val="20"/>
                <w:szCs w:val="20"/>
              </w:rPr>
              <w:t>.</w:t>
            </w:r>
            <w:r w:rsidR="007F1AF7">
              <w:rPr>
                <w:rFonts w:cs="Tahoma"/>
                <w:sz w:val="20"/>
                <w:szCs w:val="20"/>
              </w:rPr>
              <w:t xml:space="preserve"> Access via elevator or stairwell in the middle of the building.</w:t>
            </w:r>
          </w:p>
          <w:p w14:paraId="73D4946E" w14:textId="77777777" w:rsidR="00627BD0" w:rsidRPr="00627BD0" w:rsidRDefault="00627BD0" w:rsidP="000412C2">
            <w:pPr>
              <w:pStyle w:val="NoSpacing"/>
              <w:rPr>
                <w:rFonts w:eastAsia="Times New Roman"/>
                <w:sz w:val="20"/>
                <w:szCs w:val="20"/>
                <w:lang w:val="en"/>
              </w:rPr>
            </w:pPr>
          </w:p>
        </w:tc>
      </w:tr>
      <w:tr w:rsidR="00A23D8C" w:rsidRPr="00627BD0" w14:paraId="67F10EEC" w14:textId="77777777" w:rsidTr="000412C2">
        <w:trPr>
          <w:trHeight w:val="61"/>
        </w:trPr>
        <w:tc>
          <w:tcPr>
            <w:tcW w:w="3475" w:type="dxa"/>
            <w:vAlign w:val="center"/>
          </w:tcPr>
          <w:p w14:paraId="2318BDFA" w14:textId="77777777" w:rsidR="00A23D8C" w:rsidRDefault="00A23D8C" w:rsidP="005C1CFE">
            <w:pPr>
              <w:pStyle w:val="NoSpacing"/>
              <w:jc w:val="center"/>
              <w:rPr>
                <w:b/>
                <w:sz w:val="20"/>
                <w:szCs w:val="20"/>
              </w:rPr>
            </w:pPr>
            <w:r>
              <w:rPr>
                <w:b/>
                <w:sz w:val="20"/>
                <w:szCs w:val="20"/>
              </w:rPr>
              <w:t>SoE</w:t>
            </w:r>
          </w:p>
          <w:p w14:paraId="1584BE13" w14:textId="6652D7BE" w:rsidR="00A23D8C" w:rsidRPr="00214FAC" w:rsidRDefault="00214FAC" w:rsidP="005C1CFE">
            <w:pPr>
              <w:pStyle w:val="NoSpacing"/>
              <w:jc w:val="center"/>
              <w:rPr>
                <w:bCs/>
                <w:sz w:val="20"/>
                <w:szCs w:val="20"/>
              </w:rPr>
            </w:pPr>
            <w:r>
              <w:rPr>
                <w:bCs/>
                <w:sz w:val="20"/>
                <w:szCs w:val="20"/>
              </w:rPr>
              <w:t>School of Education</w:t>
            </w:r>
          </w:p>
        </w:tc>
        <w:tc>
          <w:tcPr>
            <w:tcW w:w="6285" w:type="dxa"/>
            <w:vAlign w:val="center"/>
          </w:tcPr>
          <w:p w14:paraId="207C9F1E" w14:textId="1F9FEDF7" w:rsidR="00A23D8C" w:rsidRPr="00627BD0" w:rsidRDefault="00214FAC" w:rsidP="000412C2">
            <w:pPr>
              <w:pStyle w:val="NoSpacing"/>
              <w:rPr>
                <w:rFonts w:cs="Tahoma"/>
                <w:sz w:val="20"/>
                <w:szCs w:val="20"/>
              </w:rPr>
            </w:pPr>
            <w:r>
              <w:rPr>
                <w:rFonts w:cs="Tahoma"/>
                <w:sz w:val="20"/>
                <w:szCs w:val="20"/>
              </w:rPr>
              <w:t xml:space="preserve">Loyola’s </w:t>
            </w:r>
            <w:r w:rsidR="00B0600B">
              <w:rPr>
                <w:rFonts w:cs="Tahoma"/>
                <w:sz w:val="20"/>
                <w:szCs w:val="20"/>
              </w:rPr>
              <w:t>education school.</w:t>
            </w:r>
          </w:p>
        </w:tc>
      </w:tr>
    </w:tbl>
    <w:p w14:paraId="1CFB97FB" w14:textId="77777777" w:rsidR="00C717CB" w:rsidRDefault="00C717CB" w:rsidP="007B2AC5">
      <w:pPr>
        <w:pStyle w:val="NoSpacing"/>
      </w:pPr>
    </w:p>
    <w:sectPr w:rsidR="00C717CB" w:rsidSect="001D1D15">
      <w:headerReference w:type="even" r:id="rId11"/>
      <w:headerReference w:type="default" r:id="rId12"/>
      <w:footerReference w:type="even" r:id="rId13"/>
      <w:footerReference w:type="default" r:id="rId14"/>
      <w:headerReference w:type="first" r:id="rId15"/>
      <w:footerReference w:type="first" r:id="rId16"/>
      <w:pgSz w:w="12240" w:h="15840" w:code="1"/>
      <w:pgMar w:top="1008" w:right="1296" w:bottom="576" w:left="1296" w:header="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8014B" w14:textId="77777777" w:rsidR="005603E1" w:rsidRDefault="005603E1" w:rsidP="00C50431">
      <w:pPr>
        <w:spacing w:after="0" w:line="240" w:lineRule="auto"/>
      </w:pPr>
      <w:r>
        <w:separator/>
      </w:r>
    </w:p>
  </w:endnote>
  <w:endnote w:type="continuationSeparator" w:id="0">
    <w:p w14:paraId="3562BBDD" w14:textId="77777777" w:rsidR="005603E1" w:rsidRDefault="005603E1" w:rsidP="00C50431">
      <w:pPr>
        <w:spacing w:after="0" w:line="240" w:lineRule="auto"/>
      </w:pPr>
      <w:r>
        <w:continuationSeparator/>
      </w:r>
    </w:p>
  </w:endnote>
  <w:endnote w:type="continuationNotice" w:id="1">
    <w:p w14:paraId="1D4BB4CA" w14:textId="77777777" w:rsidR="005603E1" w:rsidRDefault="00560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A287" w14:textId="4635CA51" w:rsidR="002E6AAB" w:rsidRDefault="00FC79AC">
    <w:pPr>
      <w:pStyle w:val="Footer"/>
    </w:pPr>
    <w:r>
      <w:rPr>
        <w:noProof/>
      </w:rPr>
      <mc:AlternateContent>
        <mc:Choice Requires="wps">
          <w:drawing>
            <wp:anchor distT="0" distB="0" distL="0" distR="0" simplePos="0" relativeHeight="251659264" behindDoc="0" locked="0" layoutInCell="1" allowOverlap="1" wp14:anchorId="189F517B" wp14:editId="4005D2C7">
              <wp:simplePos x="635" y="635"/>
              <wp:positionH relativeFrom="page">
                <wp:align>center</wp:align>
              </wp:positionH>
              <wp:positionV relativeFrom="page">
                <wp:align>bottom</wp:align>
              </wp:positionV>
              <wp:extent cx="2331720" cy="368935"/>
              <wp:effectExtent l="0" t="0" r="11430" b="0"/>
              <wp:wrapNone/>
              <wp:docPr id="1797600493"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68935"/>
                      </a:xfrm>
                      <a:prstGeom prst="rect">
                        <a:avLst/>
                      </a:prstGeom>
                      <a:noFill/>
                      <a:ln>
                        <a:noFill/>
                      </a:ln>
                    </wps:spPr>
                    <wps:txbx>
                      <w:txbxContent>
                        <w:p w14:paraId="29E9929F" w14:textId="00AAA553" w:rsidR="00FC79AC" w:rsidRPr="00FC79AC" w:rsidRDefault="00FC79AC" w:rsidP="00FC79AC">
                          <w:pPr>
                            <w:spacing w:after="0"/>
                            <w:rPr>
                              <w:rFonts w:ascii="Calibri" w:eastAsia="Calibri" w:hAnsi="Calibri" w:cs="Calibri"/>
                              <w:noProof/>
                              <w:color w:val="000000"/>
                              <w:sz w:val="20"/>
                              <w:szCs w:val="20"/>
                            </w:rPr>
                          </w:pPr>
                          <w:r w:rsidRPr="00FC79AC">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F517B"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183.6pt;height:29.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" filled="f" stroked="f">
              <v:fill o:detectmouseclick="t"/>
              <v:textbox style="mso-fit-shape-to-text:t" inset="0,0,0,15pt">
                <w:txbxContent>
                  <w:p w14:paraId="29E9929F" w14:textId="00AAA553" w:rsidR="00FC79AC" w:rsidRPr="00FC79AC" w:rsidRDefault="00FC79AC" w:rsidP="00FC79AC">
                    <w:pPr>
                      <w:spacing w:after="0"/>
                      <w:rPr>
                        <w:rFonts w:ascii="Calibri" w:eastAsia="Calibri" w:hAnsi="Calibri" w:cs="Calibri"/>
                        <w:noProof/>
                        <w:color w:val="000000"/>
                        <w:sz w:val="20"/>
                        <w:szCs w:val="20"/>
                      </w:rPr>
                    </w:pPr>
                    <w:r w:rsidRPr="00FC79AC">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D5D4" w14:textId="0C51D810" w:rsidR="002E6AAB" w:rsidRDefault="00FC79AC">
    <w:pPr>
      <w:pStyle w:val="Footer"/>
    </w:pPr>
    <w:r>
      <w:rPr>
        <w:noProof/>
      </w:rPr>
      <mc:AlternateContent>
        <mc:Choice Requires="wps">
          <w:drawing>
            <wp:anchor distT="0" distB="0" distL="0" distR="0" simplePos="0" relativeHeight="251660288" behindDoc="0" locked="0" layoutInCell="1" allowOverlap="1" wp14:anchorId="3ADA9D21" wp14:editId="12DCED0C">
              <wp:simplePos x="635" y="635"/>
              <wp:positionH relativeFrom="page">
                <wp:align>center</wp:align>
              </wp:positionH>
              <wp:positionV relativeFrom="page">
                <wp:align>bottom</wp:align>
              </wp:positionV>
              <wp:extent cx="2331720" cy="368935"/>
              <wp:effectExtent l="0" t="0" r="11430" b="0"/>
              <wp:wrapNone/>
              <wp:docPr id="502455706"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68935"/>
                      </a:xfrm>
                      <a:prstGeom prst="rect">
                        <a:avLst/>
                      </a:prstGeom>
                      <a:noFill/>
                      <a:ln>
                        <a:noFill/>
                      </a:ln>
                    </wps:spPr>
                    <wps:txbx>
                      <w:txbxContent>
                        <w:p w14:paraId="7F0B6227" w14:textId="72C17E48" w:rsidR="00FC79AC" w:rsidRPr="00FC79AC" w:rsidRDefault="00FC79AC" w:rsidP="00FC79AC">
                          <w:pPr>
                            <w:spacing w:after="0"/>
                            <w:rPr>
                              <w:rFonts w:ascii="Calibri" w:eastAsia="Calibri" w:hAnsi="Calibri" w:cs="Calibri"/>
                              <w:noProof/>
                              <w:color w:val="000000"/>
                              <w:sz w:val="20"/>
                              <w:szCs w:val="20"/>
                            </w:rPr>
                          </w:pPr>
                          <w:r w:rsidRPr="00FC79AC">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DA9D21"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183.6pt;height:29.0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" filled="f" stroked="f">
              <v:fill o:detectmouseclick="t"/>
              <v:textbox style="mso-fit-shape-to-text:t" inset="0,0,0,15pt">
                <w:txbxContent>
                  <w:p w14:paraId="7F0B6227" w14:textId="72C17E48" w:rsidR="00FC79AC" w:rsidRPr="00FC79AC" w:rsidRDefault="00FC79AC" w:rsidP="00FC79AC">
                    <w:pPr>
                      <w:spacing w:after="0"/>
                      <w:rPr>
                        <w:rFonts w:ascii="Calibri" w:eastAsia="Calibri" w:hAnsi="Calibri" w:cs="Calibri"/>
                        <w:noProof/>
                        <w:color w:val="000000"/>
                        <w:sz w:val="20"/>
                        <w:szCs w:val="20"/>
                      </w:rPr>
                    </w:pPr>
                    <w:r w:rsidRPr="00FC79AC">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4D26" w14:textId="7CA8CD36" w:rsidR="002E6AAB" w:rsidRDefault="00FC79AC">
    <w:pPr>
      <w:pStyle w:val="Footer"/>
    </w:pPr>
    <w:r>
      <w:rPr>
        <w:noProof/>
      </w:rPr>
      <mc:AlternateContent>
        <mc:Choice Requires="wps">
          <w:drawing>
            <wp:anchor distT="0" distB="0" distL="0" distR="0" simplePos="0" relativeHeight="251658240" behindDoc="0" locked="0" layoutInCell="1" allowOverlap="1" wp14:anchorId="72D582F4" wp14:editId="13CD3005">
              <wp:simplePos x="635" y="635"/>
              <wp:positionH relativeFrom="page">
                <wp:align>center</wp:align>
              </wp:positionH>
              <wp:positionV relativeFrom="page">
                <wp:align>bottom</wp:align>
              </wp:positionV>
              <wp:extent cx="2331720" cy="368935"/>
              <wp:effectExtent l="0" t="0" r="11430" b="0"/>
              <wp:wrapNone/>
              <wp:docPr id="184173263"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68935"/>
                      </a:xfrm>
                      <a:prstGeom prst="rect">
                        <a:avLst/>
                      </a:prstGeom>
                      <a:noFill/>
                      <a:ln>
                        <a:noFill/>
                      </a:ln>
                    </wps:spPr>
                    <wps:txbx>
                      <w:txbxContent>
                        <w:p w14:paraId="1CFCDDD8" w14:textId="2BD76F2D" w:rsidR="00FC79AC" w:rsidRPr="00FC79AC" w:rsidRDefault="00FC79AC" w:rsidP="00FC79AC">
                          <w:pPr>
                            <w:spacing w:after="0"/>
                            <w:rPr>
                              <w:rFonts w:ascii="Calibri" w:eastAsia="Calibri" w:hAnsi="Calibri" w:cs="Calibri"/>
                              <w:noProof/>
                              <w:color w:val="000000"/>
                              <w:sz w:val="20"/>
                              <w:szCs w:val="20"/>
                            </w:rPr>
                          </w:pPr>
                          <w:r w:rsidRPr="00FC79AC">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D582F4"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183.6pt;height:29.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" filled="f" stroked="f">
              <v:fill o:detectmouseclick="t"/>
              <v:textbox style="mso-fit-shape-to-text:t" inset="0,0,0,15pt">
                <w:txbxContent>
                  <w:p w14:paraId="1CFCDDD8" w14:textId="2BD76F2D" w:rsidR="00FC79AC" w:rsidRPr="00FC79AC" w:rsidRDefault="00FC79AC" w:rsidP="00FC79AC">
                    <w:pPr>
                      <w:spacing w:after="0"/>
                      <w:rPr>
                        <w:rFonts w:ascii="Calibri" w:eastAsia="Calibri" w:hAnsi="Calibri" w:cs="Calibri"/>
                        <w:noProof/>
                        <w:color w:val="000000"/>
                        <w:sz w:val="20"/>
                        <w:szCs w:val="20"/>
                      </w:rPr>
                    </w:pPr>
                    <w:r w:rsidRPr="00FC79AC">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852C" w14:textId="77777777" w:rsidR="005603E1" w:rsidRDefault="005603E1" w:rsidP="00C50431">
      <w:pPr>
        <w:spacing w:after="0" w:line="240" w:lineRule="auto"/>
      </w:pPr>
      <w:r>
        <w:separator/>
      </w:r>
    </w:p>
  </w:footnote>
  <w:footnote w:type="continuationSeparator" w:id="0">
    <w:p w14:paraId="49590F92" w14:textId="77777777" w:rsidR="005603E1" w:rsidRDefault="005603E1" w:rsidP="00C50431">
      <w:pPr>
        <w:spacing w:after="0" w:line="240" w:lineRule="auto"/>
      </w:pPr>
      <w:r>
        <w:continuationSeparator/>
      </w:r>
    </w:p>
  </w:footnote>
  <w:footnote w:type="continuationNotice" w:id="1">
    <w:p w14:paraId="25FAA754" w14:textId="77777777" w:rsidR="005603E1" w:rsidRDefault="005603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4FC1" w14:textId="77777777" w:rsidR="002E6AAB" w:rsidRDefault="002E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C9A2" w14:textId="77777777" w:rsidR="002E6AAB" w:rsidRDefault="002E6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8881" w14:textId="77777777" w:rsidR="002E6AAB" w:rsidRDefault="002E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C3192"/>
    <w:multiLevelType w:val="hybridMultilevel"/>
    <w:tmpl w:val="D4BA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629A5"/>
    <w:multiLevelType w:val="hybridMultilevel"/>
    <w:tmpl w:val="9A6A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622144">
    <w:abstractNumId w:val="1"/>
  </w:num>
  <w:num w:numId="2" w16cid:durableId="55365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1C"/>
    <w:rsid w:val="000027BB"/>
    <w:rsid w:val="00011E19"/>
    <w:rsid w:val="000412C2"/>
    <w:rsid w:val="00057EB5"/>
    <w:rsid w:val="0006319F"/>
    <w:rsid w:val="00076F9D"/>
    <w:rsid w:val="0009794C"/>
    <w:rsid w:val="000C65CE"/>
    <w:rsid w:val="000C6FBF"/>
    <w:rsid w:val="00125252"/>
    <w:rsid w:val="00191078"/>
    <w:rsid w:val="001D1D15"/>
    <w:rsid w:val="00214FAC"/>
    <w:rsid w:val="00236D4F"/>
    <w:rsid w:val="00250BF3"/>
    <w:rsid w:val="002E6AAB"/>
    <w:rsid w:val="00342E26"/>
    <w:rsid w:val="00361713"/>
    <w:rsid w:val="003632C8"/>
    <w:rsid w:val="00384830"/>
    <w:rsid w:val="003973CE"/>
    <w:rsid w:val="00400155"/>
    <w:rsid w:val="004015E1"/>
    <w:rsid w:val="00446DE7"/>
    <w:rsid w:val="00480489"/>
    <w:rsid w:val="00484889"/>
    <w:rsid w:val="004D6B45"/>
    <w:rsid w:val="004E6C3E"/>
    <w:rsid w:val="00550850"/>
    <w:rsid w:val="005603E1"/>
    <w:rsid w:val="00560E04"/>
    <w:rsid w:val="005C1CFE"/>
    <w:rsid w:val="006015F3"/>
    <w:rsid w:val="00606D86"/>
    <w:rsid w:val="00627BD0"/>
    <w:rsid w:val="00676F6F"/>
    <w:rsid w:val="00777294"/>
    <w:rsid w:val="007938B5"/>
    <w:rsid w:val="007B2AC5"/>
    <w:rsid w:val="007D3066"/>
    <w:rsid w:val="007F1AF7"/>
    <w:rsid w:val="007F3D65"/>
    <w:rsid w:val="007F51B5"/>
    <w:rsid w:val="007F6A4C"/>
    <w:rsid w:val="0080164D"/>
    <w:rsid w:val="00821E57"/>
    <w:rsid w:val="008D56DF"/>
    <w:rsid w:val="00917AC6"/>
    <w:rsid w:val="00994970"/>
    <w:rsid w:val="009B34EB"/>
    <w:rsid w:val="00A23D8C"/>
    <w:rsid w:val="00A27329"/>
    <w:rsid w:val="00A72D09"/>
    <w:rsid w:val="00AD5210"/>
    <w:rsid w:val="00AD65BE"/>
    <w:rsid w:val="00AF6C4B"/>
    <w:rsid w:val="00B0600B"/>
    <w:rsid w:val="00B1070E"/>
    <w:rsid w:val="00B1710F"/>
    <w:rsid w:val="00B42950"/>
    <w:rsid w:val="00B521F2"/>
    <w:rsid w:val="00BF4281"/>
    <w:rsid w:val="00C24DE0"/>
    <w:rsid w:val="00C50431"/>
    <w:rsid w:val="00C717CB"/>
    <w:rsid w:val="00CC18FC"/>
    <w:rsid w:val="00CD0CC3"/>
    <w:rsid w:val="00CE42AA"/>
    <w:rsid w:val="00D30146"/>
    <w:rsid w:val="00D719BD"/>
    <w:rsid w:val="00D84BE1"/>
    <w:rsid w:val="00E0031C"/>
    <w:rsid w:val="00E00C9A"/>
    <w:rsid w:val="00E42A47"/>
    <w:rsid w:val="00E515C3"/>
    <w:rsid w:val="00E66F90"/>
    <w:rsid w:val="00ED295D"/>
    <w:rsid w:val="00EF3D31"/>
    <w:rsid w:val="00F3537E"/>
    <w:rsid w:val="00F575BD"/>
    <w:rsid w:val="00FA403B"/>
    <w:rsid w:val="00FC6715"/>
    <w:rsid w:val="00FC79AC"/>
    <w:rsid w:val="00FE1805"/>
    <w:rsid w:val="00FE4AEB"/>
    <w:rsid w:val="6282A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4F4CF"/>
  <w15:docId w15:val="{C0CD3F9E-7419-4BF5-992A-4685DFEF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31C"/>
    <w:pPr>
      <w:spacing w:after="0" w:line="240" w:lineRule="auto"/>
    </w:pPr>
  </w:style>
  <w:style w:type="table" w:styleId="TableGrid">
    <w:name w:val="Table Grid"/>
    <w:basedOn w:val="TableNormal"/>
    <w:uiPriority w:val="59"/>
    <w:rsid w:val="00E0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31C"/>
  </w:style>
  <w:style w:type="character" w:styleId="Hyperlink">
    <w:name w:val="Hyperlink"/>
    <w:basedOn w:val="DefaultParagraphFont"/>
    <w:uiPriority w:val="99"/>
    <w:unhideWhenUsed/>
    <w:rsid w:val="00F3537E"/>
    <w:rPr>
      <w:color w:val="0000FF" w:themeColor="hyperlink"/>
      <w:u w:val="single"/>
    </w:rPr>
  </w:style>
  <w:style w:type="character" w:styleId="Strong">
    <w:name w:val="Strong"/>
    <w:basedOn w:val="DefaultParagraphFont"/>
    <w:uiPriority w:val="22"/>
    <w:qFormat/>
    <w:rsid w:val="00FC6715"/>
    <w:rPr>
      <w:b/>
      <w:bCs/>
    </w:rPr>
  </w:style>
  <w:style w:type="paragraph" w:styleId="Header">
    <w:name w:val="header"/>
    <w:basedOn w:val="Normal"/>
    <w:link w:val="HeaderChar"/>
    <w:uiPriority w:val="99"/>
    <w:unhideWhenUsed/>
    <w:rsid w:val="00C50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431"/>
  </w:style>
  <w:style w:type="paragraph" w:styleId="Footer">
    <w:name w:val="footer"/>
    <w:basedOn w:val="Normal"/>
    <w:link w:val="FooterChar"/>
    <w:uiPriority w:val="99"/>
    <w:unhideWhenUsed/>
    <w:rsid w:val="00C50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31"/>
  </w:style>
  <w:style w:type="paragraph" w:styleId="BalloonText">
    <w:name w:val="Balloon Text"/>
    <w:basedOn w:val="Normal"/>
    <w:link w:val="BalloonTextChar"/>
    <w:uiPriority w:val="99"/>
    <w:semiHidden/>
    <w:unhideWhenUsed/>
    <w:rsid w:val="00236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0fb523-589c-48ab-8f7c-4f3e95820352" xsi:nil="true"/>
    <lcf76f155ced4ddcb4097134ff3c332f xmlns="9f8b9652-50da-4232-ad3e-a1f7ceaa0326">
      <Terms xmlns="http://schemas.microsoft.com/office/infopath/2007/PartnerControls"/>
    </lcf76f155ced4ddcb4097134ff3c332f>
    <Note xmlns="9f8b9652-50da-4232-ad3e-a1f7ceaa03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43D8B366D6254889DE290B224141D0" ma:contentTypeVersion="19" ma:contentTypeDescription="Create a new document." ma:contentTypeScope="" ma:versionID="2827b5c5e8fe7b8c5223000e9730def2">
  <xsd:schema xmlns:xsd="http://www.w3.org/2001/XMLSchema" xmlns:xs="http://www.w3.org/2001/XMLSchema" xmlns:p="http://schemas.microsoft.com/office/2006/metadata/properties" xmlns:ns2="9f8b9652-50da-4232-ad3e-a1f7ceaa0326" xmlns:ns3="f30fb523-589c-48ab-8f7c-4f3e95820352" targetNamespace="http://schemas.microsoft.com/office/2006/metadata/properties" ma:root="true" ma:fieldsID="a4b91d909e8edf584eb4be6f84ad2835" ns2:_="" ns3:_="">
    <xsd:import namespace="9f8b9652-50da-4232-ad3e-a1f7ceaa0326"/>
    <xsd:import namespace="f30fb523-589c-48ab-8f7c-4f3e95820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b9652-50da-4232-ad3e-a1f7ceaa0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fb523-589c-48ab-8f7c-4f3e95820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c9b8fe-c12e-4d5d-9255-e1bc7a28ac7c}" ma:internalName="TaxCatchAll" ma:showField="CatchAllData" ma:web="f30fb523-589c-48ab-8f7c-4f3e95820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6DDCA-A53D-41CE-9E6E-D3381DEEFED8}">
  <ds:schemaRefs>
    <ds:schemaRef ds:uri="http://schemas.microsoft.com/office/2006/metadata/properties"/>
    <ds:schemaRef ds:uri="http://schemas.microsoft.com/office/infopath/2007/PartnerControls"/>
    <ds:schemaRef ds:uri="f30fb523-589c-48ab-8f7c-4f3e95820352"/>
    <ds:schemaRef ds:uri="9f8b9652-50da-4232-ad3e-a1f7ceaa0326"/>
  </ds:schemaRefs>
</ds:datastoreItem>
</file>

<file path=customXml/itemProps2.xml><?xml version="1.0" encoding="utf-8"?>
<ds:datastoreItem xmlns:ds="http://schemas.openxmlformats.org/officeDocument/2006/customXml" ds:itemID="{63F86DC6-50D7-4598-86B3-87DF1332D254}">
  <ds:schemaRefs>
    <ds:schemaRef ds:uri="http://schemas.openxmlformats.org/officeDocument/2006/bibliography"/>
  </ds:schemaRefs>
</ds:datastoreItem>
</file>

<file path=customXml/itemProps3.xml><?xml version="1.0" encoding="utf-8"?>
<ds:datastoreItem xmlns:ds="http://schemas.openxmlformats.org/officeDocument/2006/customXml" ds:itemID="{E53B4BFF-0B2B-4322-90DA-94B4A029D36F}">
  <ds:schemaRefs>
    <ds:schemaRef ds:uri="http://schemas.microsoft.com/sharepoint/v3/contenttype/forms"/>
  </ds:schemaRefs>
</ds:datastoreItem>
</file>

<file path=customXml/itemProps4.xml><?xml version="1.0" encoding="utf-8"?>
<ds:datastoreItem xmlns:ds="http://schemas.openxmlformats.org/officeDocument/2006/customXml" ds:itemID="{DB255251-5749-4E0B-9166-BA3BAA1A3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b9652-50da-4232-ad3e-a1f7ceaa0326"/>
    <ds:schemaRef ds:uri="f30fb523-589c-48ab-8f7c-4f3e95820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Joanna Alexander</cp:lastModifiedBy>
  <cp:revision>7</cp:revision>
  <cp:lastPrinted>2024-08-20T16:52:00Z</cp:lastPrinted>
  <dcterms:created xsi:type="dcterms:W3CDTF">2024-08-19T13:01:00Z</dcterms:created>
  <dcterms:modified xsi:type="dcterms:W3CDTF">2024-08-20T16:52:00Z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0x010100A043D8B366D6254889DE290B224141D0</vt:lpwstr>
  </property>
  <property fmtid="{D5CDD505-2E9C-101B-9397-08002B2CF9AE}" pid="3" name="MediaServiceImageTags">
    <vt:lpwstr/>
  </property>
  <property fmtid="{D5CDD505-2E9C-101B-9397-08002B2CF9AE}" pid="4" name="ClassificationContentMarkingFooterShapeIds">
    <vt:lpwstr>afa42cf,6b2534ed,1df2dd9a</vt:lpwstr>
  </property>
  <property fmtid="{D5CDD505-2E9C-101B-9397-08002B2CF9AE}" pid="5" name="ClassificationContentMarkingFooterFontProps">
    <vt:lpwstr>#000000,10,Calibri</vt:lpwstr>
  </property>
  <property fmtid="{D5CDD505-2E9C-101B-9397-08002B2CF9AE}" pid="6" name="ClassificationContentMarkingFooterText">
    <vt:lpwstr>Loyola University Maryland Internal Use Only</vt:lpwstr>
  </property>
  <property fmtid="{D5CDD505-2E9C-101B-9397-08002B2CF9AE}" pid="7" name="MSIP_Label_6da50fe2-ad8e-4b2e-b16c-4bb0954d6763_Enabled">
    <vt:lpwstr>true</vt:lpwstr>
  </property>
  <property fmtid="{D5CDD505-2E9C-101B-9397-08002B2CF9AE}" pid="8" name="MSIP_Label_6da50fe2-ad8e-4b2e-b16c-4bb0954d6763_SetDate">
    <vt:lpwstr>2024-08-20T16:38:55Z</vt:lpwstr>
  </property>
  <property fmtid="{D5CDD505-2E9C-101B-9397-08002B2CF9AE}" pid="9" name="MSIP_Label_6da50fe2-ad8e-4b2e-b16c-4bb0954d6763_Method">
    <vt:lpwstr>Standard</vt:lpwstr>
  </property>
  <property fmtid="{D5CDD505-2E9C-101B-9397-08002B2CF9AE}" pid="10" name="MSIP_Label_6da50fe2-ad8e-4b2e-b16c-4bb0954d6763_Name">
    <vt:lpwstr>Internal</vt:lpwstr>
  </property>
  <property fmtid="{D5CDD505-2E9C-101B-9397-08002B2CF9AE}" pid="11" name="MSIP_Label_6da50fe2-ad8e-4b2e-b16c-4bb0954d6763_SiteId">
    <vt:lpwstr>30ae0a8f-3cdf-44fd-af34-278bf639b85d</vt:lpwstr>
  </property>
  <property fmtid="{D5CDD505-2E9C-101B-9397-08002B2CF9AE}" pid="12" name="MSIP_Label_6da50fe2-ad8e-4b2e-b16c-4bb0954d6763_ActionId">
    <vt:lpwstr>ffd20ea6-ec04-4475-a0bb-3c6174d32e06</vt:lpwstr>
  </property>
  <property fmtid="{D5CDD505-2E9C-101B-9397-08002B2CF9AE}" pid="13" name="MSIP_Label_6da50fe2-ad8e-4b2e-b16c-4bb0954d6763_ContentBits">
    <vt:lpwstr>2</vt:lpwstr>
  </property>
</Properties>
</file>